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F4E3F" w14:textId="15F7FCA8" w:rsidR="00A34E24" w:rsidRPr="00B6098E" w:rsidRDefault="009B3527" w:rsidP="00DB06FC">
      <w:pPr>
        <w:widowControl w:val="0"/>
        <w:spacing w:before="240" w:after="120" w:line="244" w:lineRule="auto"/>
        <w:jc w:val="both"/>
        <w:rPr>
          <w:rFonts w:ascii="Arial" w:hAnsi="Arial" w:cs="Arial"/>
          <w:b/>
          <w:sz w:val="18"/>
          <w:szCs w:val="18"/>
          <w:lang w:val="pt-BR"/>
        </w:rPr>
      </w:pPr>
      <w:r w:rsidRPr="00B6098E">
        <w:rPr>
          <w:rFonts w:ascii="Arial" w:hAnsi="Arial" w:cs="Arial"/>
          <w:b/>
          <w:sz w:val="18"/>
          <w:szCs w:val="18"/>
          <w:lang w:val="pt-BR"/>
        </w:rPr>
        <w:t>CC6GN:</w:t>
      </w:r>
      <w:r w:rsidR="00C2791F" w:rsidRPr="00B6098E">
        <w:rPr>
          <w:rFonts w:ascii="Arial" w:hAnsi="Arial" w:cs="Arial"/>
          <w:b/>
          <w:sz w:val="18"/>
          <w:szCs w:val="18"/>
          <w:lang w:val="pt-BR"/>
        </w:rPr>
        <w:t xml:space="preserve"> HƯỚNG DẪN</w:t>
      </w:r>
      <w:r w:rsidR="006E5397">
        <w:rPr>
          <w:rFonts w:ascii="Arial" w:hAnsi="Arial" w:cs="Arial"/>
          <w:b/>
          <w:sz w:val="18"/>
          <w:szCs w:val="18"/>
          <w:lang w:val="pt-BR"/>
        </w:rPr>
        <w:t>-</w:t>
      </w:r>
      <w:r w:rsidR="00C2791F" w:rsidRPr="00B6098E">
        <w:rPr>
          <w:rFonts w:ascii="Arial" w:hAnsi="Arial" w:cs="Arial"/>
          <w:b/>
          <w:sz w:val="18"/>
          <w:szCs w:val="18"/>
          <w:lang w:val="pt-BR"/>
        </w:rPr>
        <w:t>CHƯƠNG TRÌNH KIỂM TOÁN</w:t>
      </w:r>
      <w:r w:rsidR="006E5397">
        <w:rPr>
          <w:rFonts w:ascii="Arial" w:hAnsi="Arial" w:cs="Arial"/>
          <w:b/>
          <w:sz w:val="18"/>
          <w:szCs w:val="18"/>
          <w:lang w:val="pt-BR"/>
        </w:rPr>
        <w:t>-</w:t>
      </w:r>
      <w:r w:rsidR="00AE7757">
        <w:rPr>
          <w:rFonts w:ascii="Arial" w:hAnsi="Arial" w:cs="Arial"/>
          <w:b/>
          <w:sz w:val="18"/>
          <w:szCs w:val="18"/>
          <w:lang w:val="pt-BR"/>
        </w:rPr>
        <w:t xml:space="preserve">THỦ TỤC </w:t>
      </w:r>
      <w:r w:rsidRPr="00B6098E">
        <w:rPr>
          <w:rFonts w:ascii="Arial" w:hAnsi="Arial" w:cs="Arial"/>
          <w:b/>
          <w:sz w:val="18"/>
          <w:szCs w:val="18"/>
          <w:lang w:val="pt-BR"/>
        </w:rPr>
        <w:t>PHÂN TÍCH SƠ BỘ</w:t>
      </w:r>
      <w:r w:rsidR="006E5397">
        <w:rPr>
          <w:rFonts w:ascii="Arial" w:hAnsi="Arial" w:cs="Arial"/>
          <w:b/>
          <w:sz w:val="18"/>
          <w:szCs w:val="18"/>
          <w:lang w:val="pt-BR"/>
        </w:rPr>
        <w:t>-</w:t>
      </w:r>
      <w:r w:rsidR="00AE7757" w:rsidRPr="00B6098E">
        <w:rPr>
          <w:rFonts w:ascii="Arial" w:hAnsi="Arial" w:cs="Arial"/>
          <w:b/>
          <w:sz w:val="18"/>
          <w:szCs w:val="18"/>
          <w:lang w:val="pt-BR"/>
        </w:rPr>
        <w:t>CẤP ĐỘ TẬP ĐOÀN</w:t>
      </w:r>
      <w:r w:rsidR="00AE7A45">
        <w:rPr>
          <w:rFonts w:ascii="Arial" w:hAnsi="Arial" w:cs="Arial"/>
          <w:b/>
          <w:sz w:val="18"/>
          <w:szCs w:val="18"/>
          <w:lang w:val="pt-BR"/>
        </w:rPr>
        <w:t>/</w:t>
      </w:r>
      <w:r w:rsidR="00C2791F" w:rsidRPr="00B6098E">
        <w:rPr>
          <w:rFonts w:ascii="Arial" w:hAnsi="Arial" w:cs="Arial"/>
          <w:b/>
          <w:sz w:val="18"/>
          <w:szCs w:val="18"/>
          <w:lang w:val="pt-BR"/>
        </w:rPr>
        <w:t xml:space="preserve"> CC6.1GN</w:t>
      </w:r>
      <w:r w:rsidR="00AE7A45">
        <w:rPr>
          <w:rFonts w:ascii="Arial" w:hAnsi="Arial" w:cs="Arial"/>
          <w:b/>
          <w:sz w:val="18"/>
          <w:szCs w:val="18"/>
          <w:lang w:val="pt-BR"/>
        </w:rPr>
        <w:t>:</w:t>
      </w:r>
      <w:r w:rsidR="00C2791F" w:rsidRPr="00B6098E">
        <w:rPr>
          <w:rFonts w:ascii="Arial" w:hAnsi="Arial" w:cs="Arial"/>
          <w:b/>
          <w:sz w:val="18"/>
          <w:szCs w:val="18"/>
          <w:lang w:val="pt-BR"/>
        </w:rPr>
        <w:t xml:space="preserve"> </w:t>
      </w:r>
      <w:r w:rsidR="000C2DA1">
        <w:rPr>
          <w:rFonts w:ascii="Arial" w:hAnsi="Arial" w:cs="Arial"/>
          <w:b/>
          <w:sz w:val="18"/>
          <w:szCs w:val="18"/>
          <w:lang w:val="pt-BR"/>
        </w:rPr>
        <w:t xml:space="preserve">HƯỚNG DẪN </w:t>
      </w:r>
      <w:r w:rsidR="00AE7757">
        <w:rPr>
          <w:rFonts w:ascii="Arial" w:hAnsi="Arial" w:cs="Arial"/>
          <w:b/>
          <w:sz w:val="18"/>
          <w:szCs w:val="18"/>
          <w:lang w:val="pt-BR"/>
        </w:rPr>
        <w:t xml:space="preserve">THỦ TỤC </w:t>
      </w:r>
      <w:r w:rsidR="00AE7757" w:rsidRPr="00B6098E">
        <w:rPr>
          <w:rFonts w:ascii="Arial" w:hAnsi="Arial" w:cs="Arial"/>
          <w:b/>
          <w:sz w:val="18"/>
          <w:szCs w:val="18"/>
          <w:lang w:val="pt-BR"/>
        </w:rPr>
        <w:t>PHÂN TÍCH SƠ BỘ</w:t>
      </w:r>
      <w:r w:rsidR="00C2791F" w:rsidRPr="00B6098E">
        <w:rPr>
          <w:rFonts w:ascii="Arial" w:hAnsi="Arial" w:cs="Arial"/>
          <w:b/>
          <w:sz w:val="18"/>
          <w:szCs w:val="18"/>
          <w:lang w:val="pt-BR"/>
        </w:rPr>
        <w:t>-</w:t>
      </w:r>
      <w:r w:rsidRPr="00B6098E">
        <w:rPr>
          <w:rFonts w:ascii="Arial" w:hAnsi="Arial" w:cs="Arial"/>
          <w:b/>
          <w:sz w:val="18"/>
          <w:szCs w:val="18"/>
          <w:lang w:val="pt-BR"/>
        </w:rPr>
        <w:t>CẤP ĐỘ TẬP ĐOÀN</w:t>
      </w:r>
      <w:r w:rsidR="00AE7A45">
        <w:rPr>
          <w:rFonts w:ascii="Arial" w:hAnsi="Arial" w:cs="Arial"/>
          <w:b/>
          <w:sz w:val="18"/>
          <w:szCs w:val="18"/>
          <w:lang w:val="pt-BR"/>
        </w:rPr>
        <w:t>/</w:t>
      </w:r>
      <w:r w:rsidRPr="00B6098E">
        <w:rPr>
          <w:rFonts w:ascii="Arial" w:hAnsi="Arial" w:cs="Arial"/>
          <w:b/>
          <w:sz w:val="18"/>
          <w:szCs w:val="18"/>
          <w:lang w:val="pt-BR"/>
        </w:rPr>
        <w:t>CC6.</w:t>
      </w:r>
      <w:r w:rsidR="00C2791F" w:rsidRPr="00B6098E">
        <w:rPr>
          <w:rFonts w:ascii="Arial" w:hAnsi="Arial" w:cs="Arial"/>
          <w:b/>
          <w:sz w:val="18"/>
          <w:szCs w:val="18"/>
          <w:lang w:val="pt-BR"/>
        </w:rPr>
        <w:t>2</w:t>
      </w:r>
      <w:r w:rsidRPr="00B6098E">
        <w:rPr>
          <w:rFonts w:ascii="Arial" w:hAnsi="Arial" w:cs="Arial"/>
          <w:b/>
          <w:sz w:val="18"/>
          <w:szCs w:val="18"/>
          <w:lang w:val="pt-BR"/>
        </w:rPr>
        <w:t xml:space="preserve">GN: </w:t>
      </w:r>
      <w:r w:rsidR="000C2DA1">
        <w:rPr>
          <w:rFonts w:ascii="Arial" w:hAnsi="Arial" w:cs="Arial"/>
          <w:b/>
          <w:sz w:val="18"/>
          <w:szCs w:val="18"/>
          <w:lang w:val="pt-BR"/>
        </w:rPr>
        <w:t>HƯỚNG DẪN</w:t>
      </w:r>
      <w:r w:rsidR="006E5397">
        <w:rPr>
          <w:rFonts w:ascii="Arial" w:hAnsi="Arial" w:cs="Arial"/>
          <w:b/>
          <w:sz w:val="18"/>
          <w:szCs w:val="18"/>
          <w:lang w:val="pt-BR"/>
        </w:rPr>
        <w:t>-</w:t>
      </w:r>
      <w:r w:rsidR="00AE7757">
        <w:rPr>
          <w:rFonts w:ascii="Arial" w:hAnsi="Arial" w:cs="Arial"/>
          <w:b/>
          <w:sz w:val="18"/>
          <w:szCs w:val="18"/>
          <w:lang w:val="pt-BR"/>
        </w:rPr>
        <w:t xml:space="preserve">THỦ TỤC </w:t>
      </w:r>
      <w:r w:rsidR="00AE7757" w:rsidRPr="00B6098E">
        <w:rPr>
          <w:rFonts w:ascii="Arial" w:hAnsi="Arial" w:cs="Arial"/>
          <w:b/>
          <w:sz w:val="18"/>
          <w:szCs w:val="18"/>
          <w:lang w:val="pt-BR"/>
        </w:rPr>
        <w:t>PHÂN TÍCH SƠ BỘ</w:t>
      </w:r>
      <w:r w:rsidRPr="00B6098E">
        <w:rPr>
          <w:rFonts w:ascii="Arial" w:hAnsi="Arial" w:cs="Arial"/>
          <w:b/>
          <w:sz w:val="18"/>
          <w:szCs w:val="18"/>
          <w:lang w:val="pt-BR"/>
        </w:rPr>
        <w:t xml:space="preserve"> - CẤP ĐỘ ĐƠN VỊ THÀNH VIÊN </w:t>
      </w:r>
    </w:p>
    <w:p w14:paraId="61D9AAEA" w14:textId="77777777" w:rsidR="00A34E24" w:rsidRPr="00B6098E" w:rsidRDefault="00A34E24" w:rsidP="00A648FD">
      <w:pPr>
        <w:widowControl w:val="0"/>
        <w:spacing w:before="120" w:after="120" w:line="240" w:lineRule="auto"/>
        <w:jc w:val="both"/>
        <w:rPr>
          <w:rFonts w:ascii="Arial" w:hAnsi="Arial" w:cs="Arial"/>
          <w:b/>
          <w:i/>
          <w:sz w:val="18"/>
          <w:szCs w:val="18"/>
          <w:lang w:val="pt-BR"/>
        </w:rPr>
      </w:pPr>
      <w:r w:rsidRPr="00B6098E">
        <w:rPr>
          <w:rFonts w:ascii="Arial" w:hAnsi="Arial" w:cs="Arial"/>
          <w:b/>
          <w:i/>
          <w:sz w:val="18"/>
          <w:szCs w:val="18"/>
          <w:lang w:val="pt-BR"/>
        </w:rPr>
        <w:t xml:space="preserve">Chuẩn mực và người thực hiện  </w:t>
      </w:r>
    </w:p>
    <w:p w14:paraId="767EBFBA" w14:textId="77777777" w:rsidR="00A34E24" w:rsidRPr="00B6098E"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 xml:space="preserve">CMKiT số 315 yêu cầu KTV thực hiện thủ tục phân tích sơ bộ trong giai đoạn lập kế hoạch như là một thủ tục đánh giá rủi ro trợ giúp cho KTV xây dựng kế hoạch kiểm toán. </w:t>
      </w:r>
    </w:p>
    <w:p w14:paraId="778E31E9" w14:textId="77777777" w:rsidR="00A34E24" w:rsidRPr="00B6098E"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 xml:space="preserve">Thủ tục phân tích có thể giúp KTV xác định sự tồn tại của các giao dịch, sự kiện bất thường, các số liệu, tỷ trọng và xu hướng có thể là dấu hiệu của các vấn đề có ảnh hưởng đến cuộc kiểm toán, từ đó, xác định được rủi ro có sai sót trọng yếu, đặc biệt là rủi ro có sai sót trọng yếu do gian lận. </w:t>
      </w:r>
    </w:p>
    <w:p w14:paraId="7FAFD6C0" w14:textId="311A253E" w:rsidR="00A34E24" w:rsidRPr="00B6098E"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 xml:space="preserve">Người thực hiện </w:t>
      </w:r>
      <w:r w:rsidR="006F2550" w:rsidRPr="00B6098E">
        <w:rPr>
          <w:rFonts w:ascii="Arial" w:hAnsi="Arial" w:cs="Arial"/>
          <w:sz w:val="18"/>
          <w:szCs w:val="18"/>
          <w:lang w:val="pt-BR"/>
        </w:rPr>
        <w:t xml:space="preserve">các </w:t>
      </w:r>
      <w:r w:rsidR="006E5397">
        <w:rPr>
          <w:rFonts w:ascii="Arial" w:hAnsi="Arial" w:cs="Arial"/>
          <w:sz w:val="18"/>
          <w:szCs w:val="18"/>
          <w:lang w:val="pt-BR"/>
        </w:rPr>
        <w:t>M</w:t>
      </w:r>
      <w:r w:rsidRPr="00B6098E">
        <w:rPr>
          <w:rFonts w:ascii="Arial" w:hAnsi="Arial" w:cs="Arial"/>
          <w:sz w:val="18"/>
          <w:szCs w:val="18"/>
          <w:lang w:val="pt-BR"/>
        </w:rPr>
        <w:t xml:space="preserve">ẫu này là </w:t>
      </w:r>
      <w:r w:rsidR="002C5D81" w:rsidRPr="00B6098E">
        <w:rPr>
          <w:rFonts w:ascii="Arial" w:hAnsi="Arial" w:cs="Arial"/>
          <w:sz w:val="18"/>
          <w:szCs w:val="18"/>
          <w:lang w:val="pt-BR"/>
        </w:rPr>
        <w:t>t</w:t>
      </w:r>
      <w:r w:rsidRPr="00B6098E">
        <w:rPr>
          <w:rFonts w:ascii="Arial" w:hAnsi="Arial" w:cs="Arial"/>
          <w:sz w:val="18"/>
          <w:szCs w:val="18"/>
          <w:lang w:val="pt-BR"/>
        </w:rPr>
        <w:t>rưởng nhóm kiểm toán</w:t>
      </w:r>
      <w:r w:rsidR="00C6558C" w:rsidRPr="00B6098E">
        <w:rPr>
          <w:rFonts w:ascii="Arial" w:hAnsi="Arial" w:cs="Arial"/>
          <w:sz w:val="18"/>
          <w:szCs w:val="18"/>
          <w:lang w:val="pt-BR"/>
        </w:rPr>
        <w:t xml:space="preserve"> tập đoàn</w:t>
      </w:r>
      <w:r w:rsidRPr="00B6098E">
        <w:rPr>
          <w:rFonts w:ascii="Arial" w:hAnsi="Arial" w:cs="Arial"/>
          <w:sz w:val="18"/>
          <w:szCs w:val="18"/>
          <w:lang w:val="pt-BR"/>
        </w:rPr>
        <w:t xml:space="preserve"> và người soát xét là </w:t>
      </w:r>
      <w:r w:rsidR="002C5D81" w:rsidRPr="00B6098E">
        <w:rPr>
          <w:rFonts w:ascii="Arial" w:hAnsi="Arial" w:cs="Arial"/>
          <w:sz w:val="18"/>
          <w:szCs w:val="18"/>
          <w:lang w:val="pt-BR"/>
        </w:rPr>
        <w:t>c</w:t>
      </w:r>
      <w:r w:rsidRPr="00B6098E">
        <w:rPr>
          <w:rFonts w:ascii="Arial" w:hAnsi="Arial" w:cs="Arial"/>
          <w:sz w:val="18"/>
          <w:szCs w:val="18"/>
          <w:lang w:val="pt-BR"/>
        </w:rPr>
        <w:t xml:space="preserve">hủ nhiệm kiểm toán </w:t>
      </w:r>
      <w:r w:rsidR="00C6558C" w:rsidRPr="00B6098E">
        <w:rPr>
          <w:rFonts w:ascii="Arial" w:hAnsi="Arial" w:cs="Arial"/>
          <w:sz w:val="18"/>
          <w:szCs w:val="18"/>
          <w:lang w:val="pt-BR"/>
        </w:rPr>
        <w:t xml:space="preserve">tập đoàn </w:t>
      </w:r>
      <w:r w:rsidRPr="00B6098E">
        <w:rPr>
          <w:rFonts w:ascii="Arial" w:hAnsi="Arial" w:cs="Arial"/>
          <w:sz w:val="18"/>
          <w:szCs w:val="18"/>
          <w:lang w:val="pt-BR"/>
        </w:rPr>
        <w:t xml:space="preserve">và </w:t>
      </w:r>
      <w:r w:rsidR="002C5D81" w:rsidRPr="00B6098E">
        <w:rPr>
          <w:rFonts w:ascii="Arial" w:hAnsi="Arial" w:cs="Arial"/>
          <w:sz w:val="18"/>
          <w:szCs w:val="18"/>
          <w:lang w:val="pt-BR"/>
        </w:rPr>
        <w:t>t</w:t>
      </w:r>
      <w:r w:rsidRPr="00B6098E">
        <w:rPr>
          <w:rFonts w:ascii="Arial" w:hAnsi="Arial" w:cs="Arial"/>
          <w:sz w:val="18"/>
          <w:szCs w:val="18"/>
          <w:lang w:val="pt-BR"/>
        </w:rPr>
        <w:t>hành viên BGĐ phụ trách tổng thể cuộc kiểm toán.</w:t>
      </w:r>
    </w:p>
    <w:p w14:paraId="17CE6F80" w14:textId="77777777" w:rsidR="00A34E24" w:rsidRPr="00B6098E" w:rsidRDefault="00A34E24" w:rsidP="00A648FD">
      <w:pPr>
        <w:widowControl w:val="0"/>
        <w:spacing w:before="120" w:after="120" w:line="240" w:lineRule="auto"/>
        <w:jc w:val="both"/>
        <w:rPr>
          <w:rFonts w:ascii="Arial" w:hAnsi="Arial" w:cs="Arial"/>
          <w:b/>
          <w:i/>
          <w:sz w:val="18"/>
          <w:szCs w:val="18"/>
          <w:lang w:val="pt-BR"/>
        </w:rPr>
      </w:pPr>
      <w:r w:rsidRPr="00B6098E">
        <w:rPr>
          <w:rFonts w:ascii="Arial" w:hAnsi="Arial" w:cs="Arial"/>
          <w:b/>
          <w:i/>
          <w:sz w:val="18"/>
          <w:szCs w:val="18"/>
          <w:lang w:val="pt-BR"/>
        </w:rPr>
        <w:t>Thời điểm thực hiện</w:t>
      </w:r>
    </w:p>
    <w:p w14:paraId="65983CC4" w14:textId="33083193" w:rsidR="00A34E24" w:rsidRPr="00B6098E"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Trong giai đoạn lập kế hoạch kiểm toán, thuận lợi nhất là thực hiện vào thời điểm kiểm toán sơ bộ hoặc khi đơn vị đã lập và trình bày BCTC</w:t>
      </w:r>
      <w:r w:rsidR="006F2550" w:rsidRPr="00B6098E">
        <w:rPr>
          <w:rFonts w:ascii="Arial" w:hAnsi="Arial" w:cs="Arial"/>
          <w:sz w:val="18"/>
          <w:szCs w:val="18"/>
          <w:lang w:val="pt-BR"/>
        </w:rPr>
        <w:t xml:space="preserve"> tập đoàn</w:t>
      </w:r>
      <w:r w:rsidRPr="00B6098E">
        <w:rPr>
          <w:rFonts w:ascii="Arial" w:hAnsi="Arial" w:cs="Arial"/>
          <w:sz w:val="18"/>
          <w:szCs w:val="18"/>
          <w:lang w:val="pt-BR"/>
        </w:rPr>
        <w:t>.</w:t>
      </w:r>
    </w:p>
    <w:p w14:paraId="1C601F0B" w14:textId="77777777" w:rsidR="00A34E24" w:rsidRPr="00B6098E" w:rsidRDefault="00A34E24" w:rsidP="00A648FD">
      <w:pPr>
        <w:widowControl w:val="0"/>
        <w:spacing w:before="120" w:after="120" w:line="240" w:lineRule="auto"/>
        <w:jc w:val="both"/>
        <w:rPr>
          <w:rFonts w:ascii="Arial" w:hAnsi="Arial" w:cs="Arial"/>
          <w:b/>
          <w:i/>
          <w:sz w:val="18"/>
          <w:szCs w:val="18"/>
          <w:lang w:val="pt-BR"/>
        </w:rPr>
      </w:pPr>
      <w:r w:rsidRPr="00B6098E">
        <w:rPr>
          <w:rFonts w:ascii="Arial" w:hAnsi="Arial" w:cs="Arial"/>
          <w:b/>
          <w:i/>
          <w:sz w:val="18"/>
          <w:szCs w:val="18"/>
          <w:lang w:val="pt-BR"/>
        </w:rPr>
        <w:t>Cách thực hiện</w:t>
      </w:r>
    </w:p>
    <w:p w14:paraId="2E93BBCB" w14:textId="6FF57DD3" w:rsidR="00A34E24" w:rsidRPr="00B6098E"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Khi thực hiện phân tích sơ bộ, KTV thực hiện</w:t>
      </w:r>
      <w:r w:rsidR="00936457" w:rsidRPr="00B6098E">
        <w:rPr>
          <w:rFonts w:ascii="Arial" w:hAnsi="Arial" w:cs="Arial"/>
          <w:sz w:val="18"/>
          <w:szCs w:val="18"/>
          <w:lang w:val="pt-BR"/>
        </w:rPr>
        <w:t xml:space="preserve"> phân tích sơ bộ ở cấp độ tập đoàn (</w:t>
      </w:r>
      <w:r w:rsidR="006E5397">
        <w:rPr>
          <w:rFonts w:ascii="Arial" w:hAnsi="Arial" w:cs="Arial"/>
          <w:sz w:val="18"/>
          <w:szCs w:val="18"/>
          <w:lang w:val="pt-BR"/>
        </w:rPr>
        <w:t>M</w:t>
      </w:r>
      <w:r w:rsidR="006E5397" w:rsidRPr="00B6098E">
        <w:rPr>
          <w:rFonts w:ascii="Arial" w:hAnsi="Arial" w:cs="Arial"/>
          <w:sz w:val="18"/>
          <w:szCs w:val="18"/>
          <w:lang w:val="pt-BR"/>
        </w:rPr>
        <w:t xml:space="preserve">ẫu </w:t>
      </w:r>
      <w:r w:rsidR="00936457" w:rsidRPr="00B6098E">
        <w:rPr>
          <w:rFonts w:ascii="Arial" w:hAnsi="Arial" w:cs="Arial"/>
          <w:sz w:val="18"/>
          <w:szCs w:val="18"/>
          <w:lang w:val="pt-BR"/>
        </w:rPr>
        <w:t>CC6</w:t>
      </w:r>
      <w:r w:rsidR="00C2791F" w:rsidRPr="00B6098E">
        <w:rPr>
          <w:rFonts w:ascii="Arial" w:hAnsi="Arial" w:cs="Arial"/>
          <w:sz w:val="18"/>
          <w:szCs w:val="18"/>
          <w:lang w:val="pt-BR"/>
        </w:rPr>
        <w:t xml:space="preserve"> và </w:t>
      </w:r>
      <w:r w:rsidR="006E5397">
        <w:rPr>
          <w:rFonts w:ascii="Arial" w:hAnsi="Arial" w:cs="Arial"/>
          <w:sz w:val="18"/>
          <w:szCs w:val="18"/>
          <w:lang w:val="pt-BR"/>
        </w:rPr>
        <w:t>M</w:t>
      </w:r>
      <w:r w:rsidR="006E5397" w:rsidRPr="00B6098E">
        <w:rPr>
          <w:rFonts w:ascii="Arial" w:hAnsi="Arial" w:cs="Arial"/>
          <w:sz w:val="18"/>
          <w:szCs w:val="18"/>
          <w:lang w:val="pt-BR"/>
        </w:rPr>
        <w:t xml:space="preserve">ẫu </w:t>
      </w:r>
      <w:r w:rsidR="00C2791F" w:rsidRPr="00B6098E">
        <w:rPr>
          <w:rFonts w:ascii="Arial" w:hAnsi="Arial" w:cs="Arial"/>
          <w:sz w:val="18"/>
          <w:szCs w:val="18"/>
          <w:lang w:val="pt-BR"/>
        </w:rPr>
        <w:t>CC6.1</w:t>
      </w:r>
      <w:r w:rsidR="00936457" w:rsidRPr="00B6098E">
        <w:rPr>
          <w:rFonts w:ascii="Arial" w:hAnsi="Arial" w:cs="Arial"/>
          <w:sz w:val="18"/>
          <w:szCs w:val="18"/>
          <w:lang w:val="pt-BR"/>
        </w:rPr>
        <w:t>) và phân tích sơ bộ ở cấp độ đơn vị thành viên (</w:t>
      </w:r>
      <w:r w:rsidR="006E5397">
        <w:rPr>
          <w:rFonts w:ascii="Arial" w:hAnsi="Arial" w:cs="Arial"/>
          <w:sz w:val="18"/>
          <w:szCs w:val="18"/>
          <w:lang w:val="pt-BR"/>
        </w:rPr>
        <w:t>M</w:t>
      </w:r>
      <w:r w:rsidR="00936457" w:rsidRPr="00B6098E">
        <w:rPr>
          <w:rFonts w:ascii="Arial" w:hAnsi="Arial" w:cs="Arial"/>
          <w:sz w:val="18"/>
          <w:szCs w:val="18"/>
          <w:lang w:val="pt-BR"/>
        </w:rPr>
        <w:t>ẫu CC6.</w:t>
      </w:r>
      <w:r w:rsidR="00C2791F" w:rsidRPr="00B6098E">
        <w:rPr>
          <w:rFonts w:ascii="Arial" w:hAnsi="Arial" w:cs="Arial"/>
          <w:sz w:val="18"/>
          <w:szCs w:val="18"/>
          <w:lang w:val="pt-BR"/>
        </w:rPr>
        <w:t>2</w:t>
      </w:r>
      <w:r w:rsidR="00936457" w:rsidRPr="00B6098E">
        <w:rPr>
          <w:rFonts w:ascii="Arial" w:hAnsi="Arial" w:cs="Arial"/>
          <w:sz w:val="18"/>
          <w:szCs w:val="18"/>
          <w:lang w:val="pt-BR"/>
        </w:rPr>
        <w:t>). KTV thực hiện</w:t>
      </w:r>
      <w:r w:rsidRPr="00B6098E">
        <w:rPr>
          <w:rFonts w:ascii="Arial" w:hAnsi="Arial" w:cs="Arial"/>
          <w:sz w:val="18"/>
          <w:szCs w:val="18"/>
          <w:lang w:val="pt-BR"/>
        </w:rPr>
        <w:t xml:space="preserve"> việc phân tích biến động, phân tích hệ số, phân tích các số dư bất thường</w:t>
      </w:r>
      <w:r w:rsidR="00936457" w:rsidRPr="00B6098E">
        <w:rPr>
          <w:rFonts w:ascii="Arial" w:hAnsi="Arial" w:cs="Arial"/>
          <w:sz w:val="18"/>
          <w:szCs w:val="18"/>
          <w:lang w:val="pt-BR"/>
        </w:rPr>
        <w:t xml:space="preserve"> trên BCTC tập đoàn và BCTC của đơn vị thành viên</w:t>
      </w:r>
      <w:r w:rsidR="002C5D81" w:rsidRPr="00B6098E">
        <w:rPr>
          <w:rFonts w:ascii="Arial" w:hAnsi="Arial" w:cs="Arial"/>
          <w:sz w:val="18"/>
          <w:szCs w:val="18"/>
          <w:lang w:val="pt-BR"/>
        </w:rPr>
        <w:t>.</w:t>
      </w:r>
    </w:p>
    <w:p w14:paraId="74982991" w14:textId="185A3134" w:rsidR="00A34E24" w:rsidRPr="00B6098E"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Phân tích sơ bộ BCTC chủ yếu là phân tích Bảng CĐKT</w:t>
      </w:r>
      <w:r w:rsidR="00C2791F" w:rsidRPr="00B6098E">
        <w:rPr>
          <w:rFonts w:ascii="Arial" w:hAnsi="Arial" w:cs="Arial"/>
          <w:sz w:val="18"/>
          <w:szCs w:val="18"/>
          <w:lang w:val="pt-BR"/>
        </w:rPr>
        <w:t xml:space="preserve"> hợp nhất/Bảng CĐKT đơn vị thành viên</w:t>
      </w:r>
      <w:r w:rsidRPr="00B6098E">
        <w:rPr>
          <w:rFonts w:ascii="Arial" w:hAnsi="Arial" w:cs="Arial"/>
          <w:sz w:val="18"/>
          <w:szCs w:val="18"/>
          <w:lang w:val="pt-BR"/>
        </w:rPr>
        <w:t xml:space="preserve"> và phân tích Báo cáo KQHĐKD</w:t>
      </w:r>
      <w:r w:rsidR="00C2791F" w:rsidRPr="00B6098E">
        <w:rPr>
          <w:rFonts w:ascii="Arial" w:hAnsi="Arial" w:cs="Arial"/>
          <w:sz w:val="18"/>
          <w:szCs w:val="18"/>
          <w:lang w:val="pt-BR"/>
        </w:rPr>
        <w:t xml:space="preserve"> hợp nhất/Báo cáo KQHĐKD đơn vị thành viên</w:t>
      </w:r>
      <w:r w:rsidRPr="00B6098E">
        <w:rPr>
          <w:rFonts w:ascii="Arial" w:hAnsi="Arial" w:cs="Arial"/>
          <w:sz w:val="18"/>
          <w:szCs w:val="18"/>
          <w:lang w:val="pt-BR"/>
        </w:rPr>
        <w:t>. Trong trường hợp cần thiết có thể cần phân tích cả Báo cáo LCTT</w:t>
      </w:r>
      <w:r w:rsidR="00C2791F" w:rsidRPr="00B6098E">
        <w:rPr>
          <w:rFonts w:ascii="Arial" w:hAnsi="Arial" w:cs="Arial"/>
          <w:sz w:val="18"/>
          <w:szCs w:val="18"/>
          <w:lang w:val="pt-BR"/>
        </w:rPr>
        <w:t xml:space="preserve"> hợp nhất/Báo cáo LCTT đơn vị thành viên</w:t>
      </w:r>
      <w:r w:rsidRPr="00B6098E">
        <w:rPr>
          <w:rFonts w:ascii="Arial" w:hAnsi="Arial" w:cs="Arial"/>
          <w:sz w:val="18"/>
          <w:szCs w:val="18"/>
          <w:lang w:val="pt-BR"/>
        </w:rPr>
        <w:t xml:space="preserve"> và Thuyết minh BCTC</w:t>
      </w:r>
      <w:r w:rsidR="00C2791F" w:rsidRPr="00B6098E">
        <w:rPr>
          <w:rFonts w:ascii="Arial" w:hAnsi="Arial" w:cs="Arial"/>
          <w:sz w:val="18"/>
          <w:szCs w:val="18"/>
          <w:lang w:val="pt-BR"/>
        </w:rPr>
        <w:t xml:space="preserve"> hợp nhất/Thuyết minh BCTC đơn vị thành viên</w:t>
      </w:r>
      <w:r w:rsidRPr="00B6098E">
        <w:rPr>
          <w:rFonts w:ascii="Arial" w:hAnsi="Arial" w:cs="Arial"/>
          <w:sz w:val="18"/>
          <w:szCs w:val="18"/>
          <w:lang w:val="pt-BR"/>
        </w:rPr>
        <w:t xml:space="preserve">. </w:t>
      </w:r>
    </w:p>
    <w:p w14:paraId="0C7FA32E" w14:textId="570E1262" w:rsidR="00A34E24" w:rsidRPr="00B6098E" w:rsidRDefault="00A34E24" w:rsidP="00A648FD">
      <w:pPr>
        <w:widowControl w:val="0"/>
        <w:spacing w:before="120" w:after="120" w:line="240" w:lineRule="auto"/>
        <w:jc w:val="both"/>
        <w:rPr>
          <w:rFonts w:ascii="Arial" w:hAnsi="Arial" w:cs="Arial"/>
          <w:b/>
          <w:i/>
          <w:sz w:val="18"/>
          <w:szCs w:val="18"/>
          <w:lang w:val="pt-BR"/>
        </w:rPr>
      </w:pPr>
      <w:r w:rsidRPr="00B6098E">
        <w:rPr>
          <w:rFonts w:ascii="Arial" w:hAnsi="Arial" w:cs="Arial"/>
          <w:b/>
          <w:i/>
          <w:sz w:val="18"/>
          <w:szCs w:val="18"/>
          <w:lang w:val="pt-BR"/>
        </w:rPr>
        <w:t xml:space="preserve">(1) Phân tích biến động của Bảng CĐKT và Báo cáo KQHĐKD </w:t>
      </w:r>
    </w:p>
    <w:p w14:paraId="17A3C6CC" w14:textId="37A21284" w:rsidR="00A34E24" w:rsidRPr="00B6098E"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KTV thực hiện so sánh năm nay với năm trước kể cả về số tuyệt đối và tương đối cho các khoản mục chủ yếu là các khoản mục có số dư lớn, biến động lớn hoặc chỉ tiêu nhạy cảm (các khoản vay, nợ phải thu, lãi, lỗ...). KTV phải tìm hiểu và phỏng vấn khách hàng để tìm hiểu nguyên nhân và đánh giá tính hợp lý của các khoản mục có biến động lớn, biến động bất thường</w:t>
      </w:r>
      <w:r w:rsidR="009177F3">
        <w:rPr>
          <w:rFonts w:ascii="Arial" w:hAnsi="Arial" w:cs="Arial"/>
          <w:sz w:val="18"/>
          <w:szCs w:val="18"/>
          <w:lang w:val="pt-BR"/>
        </w:rPr>
        <w:t xml:space="preserve">, </w:t>
      </w:r>
      <w:r w:rsidRPr="00B6098E">
        <w:rPr>
          <w:rFonts w:ascii="Arial" w:hAnsi="Arial" w:cs="Arial"/>
          <w:sz w:val="18"/>
          <w:szCs w:val="18"/>
          <w:lang w:val="pt-BR"/>
        </w:rPr>
        <w:t>ví dụ, các khoản mục có biến động (tăng/giảm) lớn hơn mức trọng yếu thực hiện, hoặc trên 100% giá trị. Các biến động chưa thể giải thích được (nếu có) là vấn đề KTV cần quan tâm khi thực hiện kiểm toán.</w:t>
      </w:r>
    </w:p>
    <w:p w14:paraId="010E4499" w14:textId="0DD84610" w:rsidR="00A34E24" w:rsidRPr="00B6098E" w:rsidRDefault="00A34E24" w:rsidP="00A648FD">
      <w:pPr>
        <w:widowControl w:val="0"/>
        <w:spacing w:before="120" w:after="120" w:line="240" w:lineRule="auto"/>
        <w:jc w:val="both"/>
        <w:rPr>
          <w:rFonts w:ascii="Arial" w:hAnsi="Arial" w:cs="Arial"/>
          <w:i/>
          <w:sz w:val="18"/>
          <w:szCs w:val="18"/>
          <w:lang w:val="pt-BR"/>
        </w:rPr>
      </w:pPr>
      <w:r w:rsidRPr="00B6098E">
        <w:rPr>
          <w:rFonts w:ascii="Arial" w:hAnsi="Arial" w:cs="Arial"/>
          <w:b/>
          <w:i/>
          <w:sz w:val="18"/>
          <w:szCs w:val="18"/>
          <w:lang w:val="pt-BR"/>
        </w:rPr>
        <w:t>(2) Phân tích hệ số</w:t>
      </w:r>
    </w:p>
    <w:p w14:paraId="1B6A55CF" w14:textId="77777777" w:rsidR="00A34E24" w:rsidRPr="00B6098E"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 xml:space="preserve">Khi phân tích hệ số KTV thường tập trung vào 04 nhóm hệ số phổ biến như sau: (1) Hệ số thanh toán; (2) Hệ số đo lường hiệu quả hoạt động; (3) Hệ số khả năng sinh lời; (4) Hệ số nợ.  </w:t>
      </w:r>
    </w:p>
    <w:p w14:paraId="596AB0D4" w14:textId="163F52CA" w:rsidR="00A34E24" w:rsidRPr="00B6098E"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 xml:space="preserve">Việc phân tích các hệ số này thường chỉ giới hạn trong việc xem xét trường hợp có biến động lớn trong khả năng thanh toán, đánh giá khả năng thanh toán ngắn hạn, dài hạn, xem xét trường hợp có biến động lớn trong việc sử dụng vốn lưu động, khả năng sinh lời,..., từ đó kiểm tra, đánh giá khả năng hoạt động liên tục của </w:t>
      </w:r>
      <w:r w:rsidR="007F5CF7" w:rsidRPr="00B6098E">
        <w:rPr>
          <w:rFonts w:ascii="Arial" w:hAnsi="Arial" w:cs="Arial"/>
          <w:sz w:val="18"/>
          <w:szCs w:val="18"/>
          <w:lang w:val="pt-BR"/>
        </w:rPr>
        <w:t>tập đoàn và khả năng hoạt động liên tục của đơn vị thành viên trong tập đoàn</w:t>
      </w:r>
      <w:r w:rsidRPr="00B6098E">
        <w:rPr>
          <w:rFonts w:ascii="Arial" w:hAnsi="Arial" w:cs="Arial"/>
          <w:sz w:val="18"/>
          <w:szCs w:val="18"/>
          <w:lang w:val="pt-BR"/>
        </w:rPr>
        <w:t>.</w:t>
      </w:r>
    </w:p>
    <w:p w14:paraId="6D0E970F" w14:textId="37E90742" w:rsidR="00A34E24" w:rsidRDefault="00A34E24" w:rsidP="00A648FD">
      <w:pPr>
        <w:widowControl w:val="0"/>
        <w:spacing w:before="120" w:after="120" w:line="240" w:lineRule="auto"/>
        <w:jc w:val="both"/>
        <w:rPr>
          <w:rFonts w:ascii="Arial" w:hAnsi="Arial" w:cs="Arial"/>
          <w:sz w:val="18"/>
          <w:szCs w:val="18"/>
          <w:lang w:val="pt-BR"/>
        </w:rPr>
      </w:pPr>
      <w:r w:rsidRPr="00B6098E">
        <w:rPr>
          <w:rFonts w:ascii="Arial" w:hAnsi="Arial" w:cs="Arial"/>
          <w:sz w:val="18"/>
          <w:szCs w:val="18"/>
          <w:lang w:val="pt-BR"/>
        </w:rPr>
        <w:t xml:space="preserve">Khi phân tích hệ số, KTV </w:t>
      </w:r>
      <w:r w:rsidR="00300B06">
        <w:rPr>
          <w:rFonts w:ascii="Arial" w:hAnsi="Arial" w:cs="Arial"/>
          <w:sz w:val="18"/>
          <w:szCs w:val="18"/>
          <w:lang w:val="pt-BR"/>
        </w:rPr>
        <w:t>sử dụng</w:t>
      </w:r>
      <w:r w:rsidR="00300B06" w:rsidRPr="00B6098E">
        <w:rPr>
          <w:rFonts w:ascii="Arial" w:hAnsi="Arial" w:cs="Arial"/>
          <w:sz w:val="18"/>
          <w:szCs w:val="18"/>
          <w:lang w:val="pt-BR"/>
        </w:rPr>
        <w:t xml:space="preserve"> </w:t>
      </w:r>
      <w:r w:rsidRPr="00B6098E">
        <w:rPr>
          <w:rFonts w:ascii="Arial" w:hAnsi="Arial" w:cs="Arial"/>
          <w:sz w:val="18"/>
          <w:szCs w:val="18"/>
          <w:lang w:val="pt-BR"/>
        </w:rPr>
        <w:t xml:space="preserve">hiểu biết của mình về kế </w:t>
      </w:r>
      <w:r w:rsidR="007F5CF7" w:rsidRPr="00B6098E">
        <w:rPr>
          <w:rFonts w:ascii="Arial" w:hAnsi="Arial" w:cs="Arial"/>
          <w:sz w:val="18"/>
          <w:szCs w:val="18"/>
          <w:lang w:val="pt-BR"/>
        </w:rPr>
        <w:t>tập đoàn</w:t>
      </w:r>
      <w:r w:rsidR="00C6558C" w:rsidRPr="00B6098E">
        <w:rPr>
          <w:rFonts w:ascii="Arial" w:hAnsi="Arial" w:cs="Arial"/>
          <w:sz w:val="18"/>
          <w:szCs w:val="18"/>
          <w:lang w:val="pt-BR"/>
        </w:rPr>
        <w:t xml:space="preserve"> </w:t>
      </w:r>
      <w:r w:rsidRPr="00B6098E">
        <w:rPr>
          <w:rFonts w:ascii="Arial" w:hAnsi="Arial" w:cs="Arial"/>
          <w:sz w:val="18"/>
          <w:szCs w:val="18"/>
          <w:lang w:val="pt-BR"/>
        </w:rPr>
        <w:t>và phân tích tài chính để phát hiện các biến động hoặc xu hướng lạ, hay việc thay đổi đột ngột của chỉ số. Việc phân tích hệ số này giúp KTV phát hiện ra các rủi ro, từ đó đưa ra thủ tục kiểm toán phù hợp cho các rủi ro đó. Đây là quá trình KTV sử dụng xét đoán chuyên môn của mình để thực hiện.</w:t>
      </w:r>
    </w:p>
    <w:p w14:paraId="1EECBE25" w14:textId="4D9B11C6" w:rsidR="000C5031" w:rsidRPr="009177F3" w:rsidRDefault="000C5031" w:rsidP="00A648FD">
      <w:pPr>
        <w:widowControl w:val="0"/>
        <w:spacing w:before="120" w:after="120" w:line="240" w:lineRule="auto"/>
        <w:jc w:val="both"/>
        <w:rPr>
          <w:rFonts w:ascii="Arial" w:hAnsi="Arial" w:cs="Arial"/>
          <w:sz w:val="18"/>
          <w:szCs w:val="18"/>
          <w:lang w:val="pt-BR"/>
        </w:rPr>
      </w:pPr>
      <w:r w:rsidRPr="009177F3">
        <w:rPr>
          <w:rFonts w:ascii="Arial" w:hAnsi="Arial" w:cs="Arial"/>
          <w:sz w:val="18"/>
          <w:szCs w:val="18"/>
          <w:lang w:val="pt-BR"/>
        </w:rPr>
        <w:t>Ý nghĩa của các hệ số cơ bản như sau: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9"/>
      </w:tblGrid>
      <w:tr w:rsidR="000C5031" w:rsidRPr="009177F3" w14:paraId="0ED72C3E" w14:textId="77777777" w:rsidTr="00C660C7">
        <w:trPr>
          <w:tblHeader/>
        </w:trPr>
        <w:tc>
          <w:tcPr>
            <w:tcW w:w="1555" w:type="dxa"/>
            <w:tcBorders>
              <w:top w:val="single" w:sz="4" w:space="0" w:color="E7E6E6"/>
              <w:left w:val="single" w:sz="4" w:space="0" w:color="E7E6E6"/>
              <w:bottom w:val="single" w:sz="4" w:space="0" w:color="E7E6E6"/>
              <w:right w:val="single" w:sz="4" w:space="0" w:color="E7E6E6"/>
            </w:tcBorders>
            <w:shd w:val="clear" w:color="auto" w:fill="E7E6E6"/>
            <w:hideMark/>
          </w:tcPr>
          <w:p w14:paraId="1CB4BB0B" w14:textId="77777777" w:rsidR="000C5031" w:rsidRPr="009177F3" w:rsidRDefault="000C5031">
            <w:pPr>
              <w:spacing w:before="120" w:after="120"/>
              <w:ind w:right="-17"/>
              <w:jc w:val="center"/>
              <w:rPr>
                <w:rFonts w:ascii="Arial" w:hAnsi="Arial" w:cs="Arial"/>
                <w:b/>
                <w:iCs/>
                <w:sz w:val="18"/>
                <w:szCs w:val="18"/>
              </w:rPr>
            </w:pPr>
            <w:r w:rsidRPr="009177F3">
              <w:rPr>
                <w:rFonts w:ascii="Arial" w:hAnsi="Arial" w:cs="Arial"/>
                <w:b/>
                <w:iCs/>
                <w:sz w:val="18"/>
                <w:szCs w:val="18"/>
              </w:rPr>
              <w:t>Chỉ số</w:t>
            </w:r>
          </w:p>
        </w:tc>
        <w:tc>
          <w:tcPr>
            <w:tcW w:w="8079" w:type="dxa"/>
            <w:tcBorders>
              <w:top w:val="single" w:sz="4" w:space="0" w:color="E7E6E6"/>
              <w:left w:val="single" w:sz="4" w:space="0" w:color="E7E6E6"/>
              <w:bottom w:val="single" w:sz="4" w:space="0" w:color="E7E6E6"/>
              <w:right w:val="single" w:sz="4" w:space="0" w:color="E7E6E6"/>
            </w:tcBorders>
            <w:shd w:val="clear" w:color="auto" w:fill="E7E6E6"/>
            <w:hideMark/>
          </w:tcPr>
          <w:p w14:paraId="5C785163" w14:textId="77777777" w:rsidR="000C5031" w:rsidRPr="009177F3" w:rsidRDefault="000C5031">
            <w:pPr>
              <w:spacing w:before="120" w:after="120"/>
              <w:ind w:right="-17"/>
              <w:jc w:val="center"/>
              <w:rPr>
                <w:rFonts w:ascii="Arial" w:hAnsi="Arial" w:cs="Arial"/>
                <w:b/>
                <w:iCs/>
                <w:sz w:val="18"/>
                <w:szCs w:val="18"/>
              </w:rPr>
            </w:pPr>
            <w:r w:rsidRPr="009177F3">
              <w:rPr>
                <w:rFonts w:ascii="Arial" w:hAnsi="Arial" w:cs="Arial"/>
                <w:b/>
                <w:iCs/>
                <w:sz w:val="18"/>
                <w:szCs w:val="18"/>
              </w:rPr>
              <w:t>Ý nghĩa</w:t>
            </w:r>
          </w:p>
        </w:tc>
      </w:tr>
      <w:tr w:rsidR="000C5031" w:rsidRPr="009177F3" w14:paraId="3C144578" w14:textId="77777777" w:rsidTr="00BB24DC">
        <w:tc>
          <w:tcPr>
            <w:tcW w:w="1555" w:type="dxa"/>
            <w:tcBorders>
              <w:top w:val="single" w:sz="4" w:space="0" w:color="E7E6E6"/>
              <w:left w:val="single" w:sz="4" w:space="0" w:color="E7E6E6"/>
              <w:bottom w:val="single" w:sz="4" w:space="0" w:color="E7E6E6"/>
              <w:right w:val="single" w:sz="4" w:space="0" w:color="E7E6E6"/>
            </w:tcBorders>
            <w:hideMark/>
          </w:tcPr>
          <w:p w14:paraId="6FC901DD" w14:textId="77777777" w:rsidR="000C5031" w:rsidRPr="009177F3" w:rsidRDefault="000C5031">
            <w:pPr>
              <w:spacing w:before="120" w:after="120"/>
              <w:ind w:right="-17"/>
              <w:rPr>
                <w:rFonts w:ascii="Arial" w:hAnsi="Arial" w:cs="Arial"/>
                <w:iCs/>
                <w:sz w:val="18"/>
                <w:szCs w:val="18"/>
              </w:rPr>
            </w:pPr>
            <w:r w:rsidRPr="009177F3">
              <w:rPr>
                <w:rFonts w:ascii="Arial" w:hAnsi="Arial" w:cs="Arial"/>
                <w:iCs/>
                <w:sz w:val="18"/>
                <w:szCs w:val="18"/>
              </w:rPr>
              <w:t>Vòng quay các khoản phải thu</w:t>
            </w:r>
          </w:p>
        </w:tc>
        <w:tc>
          <w:tcPr>
            <w:tcW w:w="8079" w:type="dxa"/>
            <w:tcBorders>
              <w:top w:val="single" w:sz="4" w:space="0" w:color="E7E6E6"/>
              <w:left w:val="single" w:sz="4" w:space="0" w:color="E7E6E6"/>
              <w:bottom w:val="single" w:sz="4" w:space="0" w:color="E7E6E6"/>
              <w:right w:val="single" w:sz="4" w:space="0" w:color="E7E6E6"/>
            </w:tcBorders>
            <w:hideMark/>
          </w:tcPr>
          <w:p w14:paraId="0D597619" w14:textId="77777777" w:rsidR="000C5031" w:rsidRPr="009177F3" w:rsidRDefault="000C5031">
            <w:pPr>
              <w:spacing w:before="120" w:after="120"/>
              <w:jc w:val="both"/>
              <w:rPr>
                <w:rFonts w:ascii="Arial" w:hAnsi="Arial" w:cs="Arial"/>
                <w:iCs/>
                <w:sz w:val="18"/>
                <w:szCs w:val="18"/>
              </w:rPr>
            </w:pPr>
            <w:r w:rsidRPr="009177F3">
              <w:rPr>
                <w:rFonts w:ascii="Arial" w:hAnsi="Arial" w:cs="Arial"/>
                <w:iCs/>
                <w:sz w:val="18"/>
                <w:szCs w:val="18"/>
              </w:rPr>
              <w:t xml:space="preserve">Số lần khoản phải thu luân chuyển trong một năm. Vòng quay cao hơn cho thấy khả năng thu hồi nợ phải thu tốt hơn (ví dụ số vòng quay là 5 thì tốt hơn số vòng quay là 0.5).   </w:t>
            </w:r>
          </w:p>
        </w:tc>
      </w:tr>
      <w:tr w:rsidR="000C5031" w:rsidRPr="00BB24DC" w14:paraId="13412876" w14:textId="77777777" w:rsidTr="00BB24DC">
        <w:tc>
          <w:tcPr>
            <w:tcW w:w="1555" w:type="dxa"/>
            <w:tcBorders>
              <w:top w:val="single" w:sz="4" w:space="0" w:color="E7E6E6"/>
              <w:left w:val="single" w:sz="4" w:space="0" w:color="E7E6E6"/>
              <w:bottom w:val="single" w:sz="4" w:space="0" w:color="E7E6E6"/>
              <w:right w:val="single" w:sz="4" w:space="0" w:color="E7E6E6"/>
            </w:tcBorders>
            <w:hideMark/>
          </w:tcPr>
          <w:p w14:paraId="70B9E2C2" w14:textId="387308A6" w:rsidR="000C5031" w:rsidRPr="009177F3" w:rsidRDefault="00300B06">
            <w:pPr>
              <w:spacing w:before="120" w:after="120"/>
              <w:ind w:right="-17"/>
              <w:rPr>
                <w:rFonts w:ascii="Arial" w:hAnsi="Arial" w:cs="Arial"/>
                <w:iCs/>
                <w:sz w:val="18"/>
                <w:szCs w:val="18"/>
              </w:rPr>
            </w:pPr>
            <w:r>
              <w:rPr>
                <w:rFonts w:ascii="Arial" w:hAnsi="Arial" w:cs="Arial"/>
                <w:iCs/>
                <w:sz w:val="18"/>
                <w:szCs w:val="18"/>
              </w:rPr>
              <w:t>Kỳ thu tiền bình quân (Số ngày thu tiền bình quân)</w:t>
            </w:r>
          </w:p>
        </w:tc>
        <w:tc>
          <w:tcPr>
            <w:tcW w:w="8079" w:type="dxa"/>
            <w:tcBorders>
              <w:top w:val="single" w:sz="4" w:space="0" w:color="E7E6E6"/>
              <w:left w:val="single" w:sz="4" w:space="0" w:color="E7E6E6"/>
              <w:bottom w:val="single" w:sz="4" w:space="0" w:color="E7E6E6"/>
              <w:right w:val="single" w:sz="4" w:space="0" w:color="E7E6E6"/>
            </w:tcBorders>
            <w:hideMark/>
          </w:tcPr>
          <w:p w14:paraId="263D2856" w14:textId="77777777" w:rsidR="000C5031" w:rsidRPr="009177F3" w:rsidRDefault="000C5031">
            <w:pPr>
              <w:spacing w:before="120" w:after="120"/>
              <w:jc w:val="both"/>
              <w:rPr>
                <w:rFonts w:ascii="Arial" w:hAnsi="Arial" w:cs="Arial"/>
                <w:iCs/>
                <w:sz w:val="18"/>
                <w:szCs w:val="18"/>
                <w:lang w:val="vi-VN"/>
              </w:rPr>
            </w:pPr>
            <w:r w:rsidRPr="009177F3">
              <w:rPr>
                <w:rFonts w:ascii="Arial" w:hAnsi="Arial" w:cs="Arial"/>
                <w:iCs/>
                <w:sz w:val="18"/>
                <w:szCs w:val="18"/>
                <w:lang w:val="vi-VN"/>
              </w:rPr>
              <w:t>Số ngày trung bình mà tập đoàn cần để thu số tiền phải thu trung bình trong năm. Số ngày càng ngắn cho thấy khả năng thu hồi công nợ càng tốt (nghĩa là 30 ngày tốt hơn 90 ngày). Chỉ số này thường được phân tích với các điều khoản tín dụng được áp dụng cho khách hàng.</w:t>
            </w:r>
          </w:p>
        </w:tc>
      </w:tr>
      <w:tr w:rsidR="000C5031" w:rsidRPr="00BB24DC" w14:paraId="34DB4F8E" w14:textId="77777777" w:rsidTr="00BB24DC">
        <w:tc>
          <w:tcPr>
            <w:tcW w:w="1555" w:type="dxa"/>
            <w:tcBorders>
              <w:top w:val="single" w:sz="4" w:space="0" w:color="E7E6E6"/>
              <w:left w:val="single" w:sz="4" w:space="0" w:color="E7E6E6"/>
              <w:bottom w:val="single" w:sz="4" w:space="0" w:color="E7E6E6"/>
              <w:right w:val="single" w:sz="4" w:space="0" w:color="E7E6E6"/>
            </w:tcBorders>
            <w:hideMark/>
          </w:tcPr>
          <w:p w14:paraId="45B9F9B4" w14:textId="77777777" w:rsidR="000C5031" w:rsidRPr="009177F3" w:rsidRDefault="000C5031">
            <w:pPr>
              <w:spacing w:before="120" w:after="120"/>
              <w:ind w:right="-17"/>
              <w:rPr>
                <w:rFonts w:ascii="Arial" w:hAnsi="Arial" w:cs="Arial"/>
                <w:iCs/>
                <w:sz w:val="18"/>
                <w:szCs w:val="18"/>
                <w:lang w:val="vi-VN"/>
              </w:rPr>
            </w:pPr>
            <w:r w:rsidRPr="009177F3">
              <w:rPr>
                <w:rFonts w:ascii="Arial" w:hAnsi="Arial" w:cs="Arial"/>
                <w:iCs/>
                <w:sz w:val="18"/>
                <w:szCs w:val="18"/>
                <w:lang w:val="vi-VN"/>
              </w:rPr>
              <w:t>Vòng quay các khoản phải trả</w:t>
            </w:r>
          </w:p>
        </w:tc>
        <w:tc>
          <w:tcPr>
            <w:tcW w:w="8079" w:type="dxa"/>
            <w:tcBorders>
              <w:top w:val="single" w:sz="4" w:space="0" w:color="E7E6E6"/>
              <w:left w:val="single" w:sz="4" w:space="0" w:color="E7E6E6"/>
              <w:bottom w:val="single" w:sz="4" w:space="0" w:color="E7E6E6"/>
              <w:right w:val="single" w:sz="4" w:space="0" w:color="E7E6E6"/>
            </w:tcBorders>
            <w:hideMark/>
          </w:tcPr>
          <w:p w14:paraId="0AAD4922" w14:textId="77777777" w:rsidR="000C5031" w:rsidRPr="009177F3" w:rsidRDefault="000C5031">
            <w:pPr>
              <w:spacing w:before="120" w:after="120"/>
              <w:jc w:val="both"/>
              <w:rPr>
                <w:rFonts w:ascii="Arial" w:hAnsi="Arial" w:cs="Arial"/>
                <w:iCs/>
                <w:sz w:val="18"/>
                <w:szCs w:val="18"/>
                <w:lang w:val="vi-VN"/>
              </w:rPr>
            </w:pPr>
            <w:r w:rsidRPr="009177F3">
              <w:rPr>
                <w:rFonts w:ascii="Arial" w:hAnsi="Arial" w:cs="Arial"/>
                <w:iCs/>
                <w:sz w:val="18"/>
                <w:szCs w:val="18"/>
                <w:lang w:val="vi-VN"/>
              </w:rPr>
              <w:t>Số lần các khoản phải trả được chuyển mỗi năm. Chỉ số càng thấp cho thấy khả năng thanh toán các khoản phải trả càng thấp/chậm trễ.</w:t>
            </w:r>
          </w:p>
        </w:tc>
      </w:tr>
      <w:tr w:rsidR="000C5031" w:rsidRPr="009177F3" w14:paraId="0C461C4C" w14:textId="77777777" w:rsidTr="00BB24DC">
        <w:tc>
          <w:tcPr>
            <w:tcW w:w="1555" w:type="dxa"/>
            <w:tcBorders>
              <w:top w:val="single" w:sz="4" w:space="0" w:color="E7E6E6"/>
              <w:left w:val="single" w:sz="4" w:space="0" w:color="E7E6E6"/>
              <w:bottom w:val="single" w:sz="4" w:space="0" w:color="E7E6E6"/>
              <w:right w:val="single" w:sz="4" w:space="0" w:color="E7E6E6"/>
            </w:tcBorders>
            <w:hideMark/>
          </w:tcPr>
          <w:p w14:paraId="5C87C8E2" w14:textId="77777777" w:rsidR="000C5031" w:rsidRPr="009177F3" w:rsidRDefault="000C5031">
            <w:pPr>
              <w:spacing w:before="120" w:after="120"/>
              <w:ind w:right="-17"/>
              <w:rPr>
                <w:rFonts w:ascii="Arial" w:hAnsi="Arial" w:cs="Arial"/>
                <w:iCs/>
                <w:sz w:val="18"/>
                <w:szCs w:val="18"/>
              </w:rPr>
            </w:pPr>
            <w:r w:rsidRPr="009177F3">
              <w:rPr>
                <w:rFonts w:ascii="Arial" w:hAnsi="Arial" w:cs="Arial"/>
                <w:iCs/>
                <w:sz w:val="18"/>
                <w:szCs w:val="18"/>
              </w:rPr>
              <w:t>Vòng quay HTK</w:t>
            </w:r>
          </w:p>
        </w:tc>
        <w:tc>
          <w:tcPr>
            <w:tcW w:w="8079" w:type="dxa"/>
            <w:tcBorders>
              <w:top w:val="single" w:sz="4" w:space="0" w:color="E7E6E6"/>
              <w:left w:val="single" w:sz="4" w:space="0" w:color="E7E6E6"/>
              <w:bottom w:val="single" w:sz="4" w:space="0" w:color="E7E6E6"/>
              <w:right w:val="single" w:sz="4" w:space="0" w:color="E7E6E6"/>
            </w:tcBorders>
            <w:hideMark/>
          </w:tcPr>
          <w:p w14:paraId="60327F2F" w14:textId="77777777" w:rsidR="000C5031" w:rsidRPr="009177F3" w:rsidRDefault="000C5031">
            <w:pPr>
              <w:spacing w:before="120" w:after="120"/>
              <w:jc w:val="both"/>
              <w:rPr>
                <w:rFonts w:ascii="Arial" w:hAnsi="Arial" w:cs="Arial"/>
                <w:iCs/>
                <w:sz w:val="18"/>
                <w:szCs w:val="18"/>
              </w:rPr>
            </w:pPr>
            <w:r w:rsidRPr="009177F3">
              <w:rPr>
                <w:rFonts w:ascii="Arial" w:hAnsi="Arial" w:cs="Arial"/>
                <w:iCs/>
                <w:sz w:val="18"/>
                <w:szCs w:val="18"/>
              </w:rPr>
              <w:t>Số lần mà HTK luân chuyển trong một năm. Vòng quay HTK càng cao cho thấy bán hàng nhanh hơn (ví dụ 12 tốt hơn 6).</w:t>
            </w:r>
          </w:p>
        </w:tc>
      </w:tr>
      <w:tr w:rsidR="000C5031" w:rsidRPr="009177F3" w14:paraId="48AD6A66" w14:textId="77777777" w:rsidTr="00BB24DC">
        <w:tc>
          <w:tcPr>
            <w:tcW w:w="1555" w:type="dxa"/>
            <w:tcBorders>
              <w:top w:val="single" w:sz="4" w:space="0" w:color="E7E6E6"/>
              <w:left w:val="single" w:sz="4" w:space="0" w:color="E7E6E6"/>
              <w:bottom w:val="single" w:sz="4" w:space="0" w:color="E7E6E6"/>
              <w:right w:val="single" w:sz="4" w:space="0" w:color="E7E6E6"/>
            </w:tcBorders>
            <w:hideMark/>
          </w:tcPr>
          <w:p w14:paraId="78B84A80" w14:textId="77777777" w:rsidR="000C5031" w:rsidRPr="009177F3" w:rsidRDefault="000C5031">
            <w:pPr>
              <w:spacing w:before="120" w:after="120"/>
              <w:ind w:right="-17"/>
              <w:rPr>
                <w:rFonts w:ascii="Arial" w:hAnsi="Arial" w:cs="Arial"/>
                <w:iCs/>
                <w:sz w:val="18"/>
                <w:szCs w:val="18"/>
              </w:rPr>
            </w:pPr>
            <w:r w:rsidRPr="009177F3">
              <w:rPr>
                <w:rFonts w:ascii="Arial" w:hAnsi="Arial" w:cs="Arial"/>
                <w:iCs/>
                <w:sz w:val="18"/>
                <w:szCs w:val="18"/>
              </w:rPr>
              <w:lastRenderedPageBreak/>
              <w:t>Hệ số thanh toán hiện hành</w:t>
            </w:r>
          </w:p>
        </w:tc>
        <w:tc>
          <w:tcPr>
            <w:tcW w:w="8079" w:type="dxa"/>
            <w:tcBorders>
              <w:top w:val="single" w:sz="4" w:space="0" w:color="E7E6E6"/>
              <w:left w:val="single" w:sz="4" w:space="0" w:color="E7E6E6"/>
              <w:bottom w:val="single" w:sz="4" w:space="0" w:color="E7E6E6"/>
              <w:right w:val="single" w:sz="4" w:space="0" w:color="E7E6E6"/>
            </w:tcBorders>
            <w:hideMark/>
          </w:tcPr>
          <w:p w14:paraId="510F07DC" w14:textId="77777777" w:rsidR="000C5031" w:rsidRPr="009177F3" w:rsidRDefault="000C5031">
            <w:pPr>
              <w:spacing w:before="120" w:after="120"/>
              <w:jc w:val="both"/>
              <w:rPr>
                <w:rFonts w:ascii="Arial" w:hAnsi="Arial" w:cs="Arial"/>
                <w:iCs/>
                <w:sz w:val="18"/>
                <w:szCs w:val="18"/>
              </w:rPr>
            </w:pPr>
            <w:r w:rsidRPr="009177F3">
              <w:rPr>
                <w:rFonts w:ascii="Arial" w:hAnsi="Arial" w:cs="Arial"/>
                <w:iCs/>
                <w:sz w:val="18"/>
                <w:szCs w:val="18"/>
              </w:rPr>
              <w:t>Chỉ số về mối quan hệ giữa tài sản ngắn hạn (CA) và nợ phải trả ngắn hạn (CL). Hệ số thanh toán hiện hành càng cao càng tốt (tức là tỷ lệ 4: 1 tốt hơn 2: 1).</w:t>
            </w:r>
          </w:p>
        </w:tc>
      </w:tr>
      <w:tr w:rsidR="000C5031" w:rsidRPr="00BB24DC" w14:paraId="2E689C0E" w14:textId="77777777" w:rsidTr="00BB24DC">
        <w:tc>
          <w:tcPr>
            <w:tcW w:w="1555" w:type="dxa"/>
            <w:tcBorders>
              <w:top w:val="single" w:sz="4" w:space="0" w:color="E7E6E6"/>
              <w:left w:val="single" w:sz="4" w:space="0" w:color="E7E6E6"/>
              <w:bottom w:val="single" w:sz="4" w:space="0" w:color="E7E6E6"/>
              <w:right w:val="single" w:sz="4" w:space="0" w:color="E7E6E6"/>
            </w:tcBorders>
            <w:hideMark/>
          </w:tcPr>
          <w:p w14:paraId="3FD79EFA" w14:textId="77777777" w:rsidR="000C5031" w:rsidRPr="009177F3" w:rsidRDefault="000C5031">
            <w:pPr>
              <w:spacing w:before="120" w:after="120"/>
              <w:ind w:right="-17"/>
              <w:rPr>
                <w:rFonts w:ascii="Arial" w:hAnsi="Arial" w:cs="Arial"/>
                <w:iCs/>
                <w:sz w:val="18"/>
                <w:szCs w:val="18"/>
              </w:rPr>
            </w:pPr>
            <w:r w:rsidRPr="009177F3">
              <w:rPr>
                <w:rFonts w:ascii="Arial" w:hAnsi="Arial" w:cs="Arial"/>
                <w:iCs/>
                <w:sz w:val="18"/>
                <w:szCs w:val="18"/>
              </w:rPr>
              <w:t>Hệ số thanh toán nhanh</w:t>
            </w:r>
          </w:p>
        </w:tc>
        <w:tc>
          <w:tcPr>
            <w:tcW w:w="8079" w:type="dxa"/>
            <w:tcBorders>
              <w:top w:val="single" w:sz="4" w:space="0" w:color="E7E6E6"/>
              <w:left w:val="single" w:sz="4" w:space="0" w:color="E7E6E6"/>
              <w:bottom w:val="single" w:sz="4" w:space="0" w:color="E7E6E6"/>
              <w:right w:val="single" w:sz="4" w:space="0" w:color="E7E6E6"/>
            </w:tcBorders>
          </w:tcPr>
          <w:p w14:paraId="4DFAA114" w14:textId="77777777" w:rsidR="000C5031" w:rsidRPr="009177F3" w:rsidRDefault="000C5031">
            <w:pPr>
              <w:spacing w:before="120" w:after="120"/>
              <w:jc w:val="both"/>
              <w:rPr>
                <w:rFonts w:ascii="Arial" w:hAnsi="Arial" w:cs="Arial"/>
                <w:iCs/>
                <w:sz w:val="18"/>
                <w:szCs w:val="18"/>
                <w:lang w:val="vi-VN"/>
              </w:rPr>
            </w:pPr>
            <w:r w:rsidRPr="009177F3">
              <w:rPr>
                <w:rFonts w:ascii="Arial" w:hAnsi="Arial" w:cs="Arial"/>
                <w:iCs/>
                <w:sz w:val="18"/>
                <w:szCs w:val="18"/>
                <w:lang w:val="vi-VN"/>
              </w:rPr>
              <w:t>Tương tự như hệ số thanh toán hiện hành, loại trừ HTK. Chỉ ra mối quan hệ giữa lượng tài sản có thể nhanh chóng chuyển đổi thành tiền tỷ lệ với nợ phải trả ngắn hạn. Tỷ lệ này càng cao thì khả năng thanh khoản của tập đoàn càng tốt.</w:t>
            </w:r>
          </w:p>
          <w:p w14:paraId="23026850" w14:textId="77777777" w:rsidR="000C5031" w:rsidRPr="009177F3" w:rsidRDefault="000C5031">
            <w:pPr>
              <w:spacing w:before="120" w:after="120"/>
              <w:jc w:val="both"/>
              <w:rPr>
                <w:rFonts w:ascii="Arial" w:hAnsi="Arial" w:cs="Arial"/>
                <w:iCs/>
                <w:sz w:val="18"/>
                <w:szCs w:val="18"/>
                <w:lang w:val="vi-VN"/>
              </w:rPr>
            </w:pPr>
          </w:p>
        </w:tc>
      </w:tr>
      <w:tr w:rsidR="000C5031" w:rsidRPr="00BB24DC" w14:paraId="496DE67B" w14:textId="77777777" w:rsidTr="00BB24DC">
        <w:tc>
          <w:tcPr>
            <w:tcW w:w="1555" w:type="dxa"/>
            <w:tcBorders>
              <w:top w:val="single" w:sz="4" w:space="0" w:color="E7E6E6"/>
              <w:left w:val="single" w:sz="4" w:space="0" w:color="E7E6E6"/>
              <w:bottom w:val="single" w:sz="4" w:space="0" w:color="E7E6E6"/>
              <w:right w:val="single" w:sz="4" w:space="0" w:color="E7E6E6"/>
            </w:tcBorders>
            <w:hideMark/>
          </w:tcPr>
          <w:p w14:paraId="7E379A80" w14:textId="77777777" w:rsidR="000C5031" w:rsidRPr="009177F3" w:rsidRDefault="000C5031">
            <w:pPr>
              <w:spacing w:before="120" w:after="120"/>
              <w:ind w:right="-17"/>
              <w:rPr>
                <w:rFonts w:ascii="Arial" w:hAnsi="Arial" w:cs="Arial"/>
                <w:iCs/>
                <w:sz w:val="18"/>
                <w:szCs w:val="18"/>
                <w:lang w:val="vi-VN"/>
              </w:rPr>
            </w:pPr>
            <w:r w:rsidRPr="009177F3">
              <w:rPr>
                <w:rFonts w:ascii="Arial" w:hAnsi="Arial" w:cs="Arial"/>
                <w:iCs/>
                <w:sz w:val="18"/>
                <w:szCs w:val="18"/>
                <w:lang w:val="vi-VN"/>
              </w:rPr>
              <w:t>Hệ số đòn bẩy tài chính (Nợ phải trả trên vốn chủ sở hữu)</w:t>
            </w:r>
          </w:p>
        </w:tc>
        <w:tc>
          <w:tcPr>
            <w:tcW w:w="8079" w:type="dxa"/>
            <w:tcBorders>
              <w:top w:val="single" w:sz="4" w:space="0" w:color="E7E6E6"/>
              <w:left w:val="single" w:sz="4" w:space="0" w:color="E7E6E6"/>
              <w:bottom w:val="single" w:sz="4" w:space="0" w:color="E7E6E6"/>
              <w:right w:val="single" w:sz="4" w:space="0" w:color="E7E6E6"/>
            </w:tcBorders>
            <w:hideMark/>
          </w:tcPr>
          <w:p w14:paraId="362F2367" w14:textId="77777777" w:rsidR="000C5031" w:rsidRPr="009177F3" w:rsidRDefault="000C5031">
            <w:pPr>
              <w:spacing w:before="120" w:after="120"/>
              <w:jc w:val="both"/>
              <w:rPr>
                <w:rFonts w:ascii="Arial" w:hAnsi="Arial" w:cs="Arial"/>
                <w:iCs/>
                <w:sz w:val="18"/>
                <w:szCs w:val="18"/>
                <w:lang w:val="vi-VN"/>
              </w:rPr>
            </w:pPr>
            <w:r w:rsidRPr="009177F3">
              <w:rPr>
                <w:rFonts w:ascii="Arial" w:hAnsi="Arial" w:cs="Arial"/>
                <w:iCs/>
                <w:sz w:val="18"/>
                <w:szCs w:val="18"/>
                <w:lang w:val="vi-VN"/>
              </w:rPr>
              <w:t>Tỷ lệ tài sản của đơn vị được tài trợ bởi các khoản nợ so với tài sản của đơn vị do các cổ đông đóng góp. Tỷ lệ này càng cao (tức là hơn 50%) cho thấy rủi ro lớn. Đơn vị có tỷ lệ này thấp cho thấy sự ổn định tài chính tốt hơn.</w:t>
            </w:r>
          </w:p>
        </w:tc>
      </w:tr>
      <w:tr w:rsidR="000C5031" w:rsidRPr="00BB24DC" w14:paraId="15610724" w14:textId="77777777" w:rsidTr="00BB24DC">
        <w:tc>
          <w:tcPr>
            <w:tcW w:w="1555" w:type="dxa"/>
            <w:tcBorders>
              <w:top w:val="single" w:sz="4" w:space="0" w:color="E7E6E6"/>
              <w:left w:val="single" w:sz="4" w:space="0" w:color="E7E6E6"/>
              <w:bottom w:val="single" w:sz="4" w:space="0" w:color="E7E6E6"/>
              <w:right w:val="single" w:sz="4" w:space="0" w:color="E7E6E6"/>
            </w:tcBorders>
            <w:hideMark/>
          </w:tcPr>
          <w:p w14:paraId="182FE224" w14:textId="77777777" w:rsidR="000C5031" w:rsidRPr="009177F3" w:rsidRDefault="000C5031">
            <w:pPr>
              <w:spacing w:before="120" w:after="120"/>
              <w:ind w:right="-17"/>
              <w:rPr>
                <w:rFonts w:ascii="Arial" w:hAnsi="Arial" w:cs="Arial"/>
                <w:iCs/>
                <w:sz w:val="18"/>
                <w:szCs w:val="18"/>
                <w:lang w:val="vi-VN"/>
              </w:rPr>
            </w:pPr>
            <w:r w:rsidRPr="009177F3">
              <w:rPr>
                <w:rFonts w:ascii="Arial" w:hAnsi="Arial" w:cs="Arial"/>
                <w:iCs/>
                <w:sz w:val="18"/>
                <w:szCs w:val="18"/>
                <w:lang w:val="vi-VN"/>
              </w:rPr>
              <w:t>Biên lợi nhuận gộp (Tỷ suất lợi nhuận gộp )</w:t>
            </w:r>
          </w:p>
        </w:tc>
        <w:tc>
          <w:tcPr>
            <w:tcW w:w="8079" w:type="dxa"/>
            <w:tcBorders>
              <w:top w:val="single" w:sz="4" w:space="0" w:color="E7E6E6"/>
              <w:left w:val="single" w:sz="4" w:space="0" w:color="E7E6E6"/>
              <w:bottom w:val="single" w:sz="4" w:space="0" w:color="E7E6E6"/>
              <w:right w:val="single" w:sz="4" w:space="0" w:color="E7E6E6"/>
            </w:tcBorders>
            <w:hideMark/>
          </w:tcPr>
          <w:p w14:paraId="0003304F" w14:textId="77777777" w:rsidR="000C5031" w:rsidRPr="009177F3" w:rsidRDefault="000C5031">
            <w:pPr>
              <w:spacing w:before="120" w:after="120"/>
              <w:jc w:val="both"/>
              <w:rPr>
                <w:rFonts w:ascii="Arial" w:hAnsi="Arial" w:cs="Arial"/>
                <w:iCs/>
                <w:sz w:val="18"/>
                <w:szCs w:val="18"/>
                <w:lang w:val="vi-VN"/>
              </w:rPr>
            </w:pPr>
            <w:r w:rsidRPr="009177F3">
              <w:rPr>
                <w:rFonts w:ascii="Arial" w:hAnsi="Arial" w:cs="Arial"/>
                <w:iCs/>
                <w:sz w:val="18"/>
                <w:szCs w:val="18"/>
                <w:lang w:val="vi-VN"/>
              </w:rPr>
              <w:t xml:space="preserve">Biên lợi nhuận càng cao, lợi nhuận của đơn vị càng lớn. Tỷ suất lợi nhuận gộp sẽ khác nhau giữa các ngành, tuy nhiên, dự kiến ​​sẽ không dao động đáng kể so với các giai đoạn trước. </w:t>
            </w:r>
          </w:p>
        </w:tc>
      </w:tr>
      <w:tr w:rsidR="000C5031" w:rsidRPr="00BB24DC" w14:paraId="1040D1BD" w14:textId="77777777" w:rsidTr="00BB24DC">
        <w:tc>
          <w:tcPr>
            <w:tcW w:w="1555" w:type="dxa"/>
            <w:tcBorders>
              <w:top w:val="single" w:sz="4" w:space="0" w:color="E7E6E6"/>
              <w:left w:val="single" w:sz="4" w:space="0" w:color="E7E6E6"/>
              <w:bottom w:val="single" w:sz="4" w:space="0" w:color="E7E6E6"/>
              <w:right w:val="single" w:sz="4" w:space="0" w:color="E7E6E6"/>
            </w:tcBorders>
            <w:hideMark/>
          </w:tcPr>
          <w:p w14:paraId="465BABA6" w14:textId="77777777" w:rsidR="000C5031" w:rsidRPr="009177F3" w:rsidRDefault="000C5031">
            <w:pPr>
              <w:spacing w:before="120" w:after="120"/>
              <w:ind w:right="-17"/>
              <w:rPr>
                <w:rFonts w:ascii="Arial" w:hAnsi="Arial" w:cs="Arial"/>
                <w:iCs/>
                <w:sz w:val="18"/>
                <w:szCs w:val="18"/>
                <w:lang w:val="vi-VN"/>
              </w:rPr>
            </w:pPr>
            <w:r w:rsidRPr="009177F3">
              <w:rPr>
                <w:rFonts w:ascii="Arial" w:hAnsi="Arial" w:cs="Arial"/>
                <w:iCs/>
                <w:sz w:val="18"/>
                <w:szCs w:val="18"/>
                <w:lang w:val="vi-VN"/>
              </w:rPr>
              <w:t>Biên lợi nhuận ròng (Tỷ suất lợi nhuận thuần)</w:t>
            </w:r>
          </w:p>
        </w:tc>
        <w:tc>
          <w:tcPr>
            <w:tcW w:w="8079" w:type="dxa"/>
            <w:tcBorders>
              <w:top w:val="single" w:sz="4" w:space="0" w:color="E7E6E6"/>
              <w:left w:val="single" w:sz="4" w:space="0" w:color="E7E6E6"/>
              <w:bottom w:val="single" w:sz="4" w:space="0" w:color="E7E6E6"/>
              <w:right w:val="single" w:sz="4" w:space="0" w:color="E7E6E6"/>
            </w:tcBorders>
            <w:hideMark/>
          </w:tcPr>
          <w:p w14:paraId="45D4D01D" w14:textId="77777777" w:rsidR="000C5031" w:rsidRPr="009177F3" w:rsidRDefault="000C5031">
            <w:pPr>
              <w:spacing w:before="120" w:after="120"/>
              <w:jc w:val="both"/>
              <w:rPr>
                <w:rFonts w:ascii="Arial" w:hAnsi="Arial" w:cs="Arial"/>
                <w:iCs/>
                <w:sz w:val="18"/>
                <w:szCs w:val="18"/>
                <w:lang w:val="vi-VN"/>
              </w:rPr>
            </w:pPr>
            <w:r w:rsidRPr="009177F3">
              <w:rPr>
                <w:rFonts w:ascii="Arial" w:hAnsi="Arial" w:cs="Arial"/>
                <w:iCs/>
                <w:sz w:val="18"/>
                <w:szCs w:val="18"/>
                <w:lang w:val="vi-VN"/>
              </w:rPr>
              <w:t>Chỉ số này cho biết lợi nhuận trên mỗi đồng doanh thu là bao nhiêu. Biên lợi nhuận ròng càng cao, đơn vị càng có nhiều lợi nhuận. Tỷ suất lợi nhuận sẽ khác nhau giữa các ngành, tuy nhiên, dự kiến ​​sẽ không dao động đáng kể so với các giai đoạn trước.</w:t>
            </w:r>
          </w:p>
        </w:tc>
      </w:tr>
    </w:tbl>
    <w:p w14:paraId="1353BCE4" w14:textId="77777777" w:rsidR="000C5031" w:rsidRPr="00BB24DC" w:rsidRDefault="000C5031" w:rsidP="00A648FD">
      <w:pPr>
        <w:widowControl w:val="0"/>
        <w:spacing w:before="120" w:after="120" w:line="240" w:lineRule="auto"/>
        <w:jc w:val="both"/>
        <w:rPr>
          <w:rFonts w:ascii="Arial" w:hAnsi="Arial" w:cs="Arial"/>
          <w:sz w:val="18"/>
          <w:szCs w:val="18"/>
          <w:lang w:val="vi-VN"/>
        </w:rPr>
      </w:pPr>
    </w:p>
    <w:p w14:paraId="63C5FB1B" w14:textId="301F99FA" w:rsidR="00A34E24" w:rsidRPr="00BB24DC" w:rsidRDefault="00A34E24" w:rsidP="00A648FD">
      <w:pPr>
        <w:widowControl w:val="0"/>
        <w:spacing w:before="120" w:after="120" w:line="240" w:lineRule="auto"/>
        <w:jc w:val="both"/>
        <w:rPr>
          <w:rFonts w:ascii="Arial" w:hAnsi="Arial" w:cs="Arial"/>
          <w:b/>
          <w:i/>
          <w:sz w:val="18"/>
          <w:szCs w:val="18"/>
          <w:lang w:val="vi-VN"/>
        </w:rPr>
      </w:pPr>
      <w:r w:rsidRPr="00BB24DC">
        <w:rPr>
          <w:rFonts w:ascii="Arial" w:hAnsi="Arial" w:cs="Arial"/>
          <w:b/>
          <w:i/>
          <w:sz w:val="18"/>
          <w:szCs w:val="18"/>
          <w:lang w:val="vi-VN"/>
        </w:rPr>
        <w:t>(3) Phân tích các số dư lớn, nhỏ và bất thường</w:t>
      </w:r>
    </w:p>
    <w:p w14:paraId="3D3F20F0" w14:textId="66CEF9D7" w:rsidR="00A34E24" w:rsidRPr="00BB24DC" w:rsidRDefault="00A34E24" w:rsidP="00A648FD">
      <w:pPr>
        <w:widowControl w:val="0"/>
        <w:spacing w:before="120" w:after="120" w:line="240" w:lineRule="auto"/>
        <w:jc w:val="both"/>
        <w:rPr>
          <w:rFonts w:ascii="Arial" w:hAnsi="Arial" w:cs="Arial"/>
          <w:sz w:val="18"/>
          <w:szCs w:val="18"/>
          <w:lang w:val="vi-VN"/>
        </w:rPr>
      </w:pPr>
      <w:r w:rsidRPr="00BB24DC">
        <w:rPr>
          <w:rFonts w:ascii="Arial" w:hAnsi="Arial" w:cs="Arial"/>
          <w:sz w:val="18"/>
          <w:szCs w:val="18"/>
          <w:lang w:val="vi-VN"/>
        </w:rPr>
        <w:t xml:space="preserve">Đối với từng loại hình </w:t>
      </w:r>
      <w:r w:rsidR="007F5CF7" w:rsidRPr="00BB24DC">
        <w:rPr>
          <w:rFonts w:ascii="Arial" w:hAnsi="Arial" w:cs="Arial"/>
          <w:sz w:val="18"/>
          <w:szCs w:val="18"/>
          <w:lang w:val="vi-VN"/>
        </w:rPr>
        <w:t>tập đoàn, đơn vị thành viên</w:t>
      </w:r>
      <w:r w:rsidRPr="00BB24DC">
        <w:rPr>
          <w:rFonts w:ascii="Arial" w:hAnsi="Arial" w:cs="Arial"/>
          <w:sz w:val="18"/>
          <w:szCs w:val="18"/>
          <w:lang w:val="vi-VN"/>
        </w:rPr>
        <w:t xml:space="preserve">, KTV phải quan tâm đến các chỉ tiêu riêng biệt, nếu có số dư có giá trị lớn hoặc nhỏ bất thường so với năm trước hoặc theo thông lệ, hoặc số dư bất thường (lần đầu xuất hiện tại DN) thì cần giải trình rõ lý do. Ví dụ, số dư quỹ tiền mặt lớn (tồn quỹ 10 tỷ đồng trong khi mức chi hàng ngày bằng tiền mặt bình quân là 300 triệu,...); </w:t>
      </w:r>
      <w:r w:rsidR="007F5CF7" w:rsidRPr="00BB24DC">
        <w:rPr>
          <w:rFonts w:ascii="Arial" w:hAnsi="Arial" w:cs="Arial"/>
          <w:sz w:val="18"/>
          <w:szCs w:val="18"/>
          <w:lang w:val="vi-VN"/>
        </w:rPr>
        <w:t xml:space="preserve">Tập đoàn hoặc đơn vị thành viên </w:t>
      </w:r>
      <w:r w:rsidRPr="00BB24DC">
        <w:rPr>
          <w:rFonts w:ascii="Arial" w:hAnsi="Arial" w:cs="Arial"/>
          <w:sz w:val="18"/>
          <w:szCs w:val="18"/>
          <w:lang w:val="vi-VN"/>
        </w:rPr>
        <w:t>sản xuất mà HTK rất ít trong điều kiện thị trường đang khan hiếm thì cũng là bất thường,...</w:t>
      </w:r>
    </w:p>
    <w:p w14:paraId="39DF60C5" w14:textId="065A4F52" w:rsidR="00A34E24" w:rsidRPr="009177F3" w:rsidRDefault="00A34E24" w:rsidP="00A648FD">
      <w:pPr>
        <w:widowControl w:val="0"/>
        <w:spacing w:before="120" w:after="120" w:line="240" w:lineRule="auto"/>
        <w:jc w:val="both"/>
        <w:rPr>
          <w:rFonts w:ascii="Arial" w:hAnsi="Arial" w:cs="Arial"/>
          <w:sz w:val="18"/>
          <w:szCs w:val="18"/>
          <w:lang w:val="vi-VN"/>
        </w:rPr>
      </w:pPr>
      <w:r w:rsidRPr="00BB24DC">
        <w:rPr>
          <w:rFonts w:ascii="Arial" w:hAnsi="Arial" w:cs="Arial"/>
          <w:sz w:val="18"/>
          <w:szCs w:val="18"/>
          <w:lang w:val="vi-VN"/>
        </w:rPr>
        <w:t>Lưu ý: KTV có thể thu thập thêm thông tin của các kỳ kế toán trước năm trước liền kề để phân tích và xem xét sự biến động của các chỉ tiêu trên BCTC</w:t>
      </w:r>
      <w:r w:rsidR="007F5CF7" w:rsidRPr="00BB24DC">
        <w:rPr>
          <w:rFonts w:ascii="Arial" w:hAnsi="Arial" w:cs="Arial"/>
          <w:sz w:val="18"/>
          <w:szCs w:val="18"/>
          <w:lang w:val="vi-VN"/>
        </w:rPr>
        <w:t xml:space="preserve"> tập đoàn và BCTC đơn vị thành viên</w:t>
      </w:r>
      <w:r w:rsidRPr="00BB24DC">
        <w:rPr>
          <w:rFonts w:ascii="Arial" w:hAnsi="Arial" w:cs="Arial"/>
          <w:sz w:val="18"/>
          <w:szCs w:val="18"/>
          <w:lang w:val="vi-VN"/>
        </w:rPr>
        <w:t xml:space="preserve"> một cách dài hạn nhằm xác định phù hợ</w:t>
      </w:r>
      <w:r w:rsidRPr="009177F3">
        <w:rPr>
          <w:rFonts w:ascii="Arial" w:hAnsi="Arial" w:cs="Arial"/>
          <w:sz w:val="18"/>
          <w:szCs w:val="18"/>
          <w:lang w:val="vi-VN"/>
        </w:rPr>
        <w:t>p</w:t>
      </w:r>
      <w:r w:rsidRPr="00BB24DC">
        <w:rPr>
          <w:rFonts w:ascii="Arial" w:hAnsi="Arial" w:cs="Arial"/>
          <w:sz w:val="18"/>
          <w:szCs w:val="18"/>
          <w:lang w:val="vi-VN"/>
        </w:rPr>
        <w:t xml:space="preserve"> xu hướng biến động và tính hợp lý của các chỉ tiêu</w:t>
      </w:r>
      <w:r w:rsidRPr="009177F3">
        <w:rPr>
          <w:rFonts w:ascii="Arial" w:hAnsi="Arial" w:cs="Arial"/>
          <w:sz w:val="18"/>
          <w:szCs w:val="18"/>
          <w:lang w:val="vi-VN"/>
        </w:rPr>
        <w:t>.</w:t>
      </w:r>
    </w:p>
    <w:p w14:paraId="49902747" w14:textId="77777777" w:rsidR="00A34E24" w:rsidRPr="009177F3" w:rsidRDefault="00A34E24" w:rsidP="00A648FD">
      <w:pPr>
        <w:widowControl w:val="0"/>
        <w:spacing w:before="120" w:after="120" w:line="240" w:lineRule="auto"/>
        <w:jc w:val="both"/>
        <w:rPr>
          <w:rFonts w:ascii="Arial" w:hAnsi="Arial" w:cs="Arial"/>
          <w:b/>
          <w:i/>
          <w:sz w:val="18"/>
          <w:szCs w:val="18"/>
          <w:lang w:val="vi-VN"/>
        </w:rPr>
      </w:pPr>
      <w:r w:rsidRPr="009177F3">
        <w:rPr>
          <w:rFonts w:ascii="Arial" w:hAnsi="Arial" w:cs="Arial"/>
          <w:b/>
          <w:i/>
          <w:sz w:val="18"/>
          <w:szCs w:val="18"/>
          <w:lang w:val="vi-VN"/>
        </w:rPr>
        <w:t>Liên kết với giấy làm việc khác</w:t>
      </w:r>
    </w:p>
    <w:p w14:paraId="3A3FB419" w14:textId="77CCF791" w:rsidR="00A34E24" w:rsidRPr="009177F3" w:rsidRDefault="00A34E24" w:rsidP="00A648FD">
      <w:pPr>
        <w:widowControl w:val="0"/>
        <w:spacing w:before="120" w:after="120" w:line="240" w:lineRule="auto"/>
        <w:jc w:val="both"/>
        <w:rPr>
          <w:rFonts w:ascii="Arial" w:hAnsi="Arial" w:cs="Arial"/>
          <w:sz w:val="18"/>
          <w:szCs w:val="18"/>
          <w:lang w:val="vi-VN"/>
        </w:rPr>
      </w:pPr>
      <w:r w:rsidRPr="009177F3">
        <w:rPr>
          <w:rFonts w:ascii="Arial" w:hAnsi="Arial" w:cs="Arial"/>
          <w:sz w:val="18"/>
          <w:szCs w:val="18"/>
          <w:lang w:val="vi-VN"/>
        </w:rPr>
        <w:t xml:space="preserve">Lấy thông tin </w:t>
      </w:r>
      <w:r w:rsidR="00936457" w:rsidRPr="009177F3">
        <w:rPr>
          <w:rFonts w:ascii="Arial" w:hAnsi="Arial" w:cs="Arial"/>
          <w:sz w:val="18"/>
          <w:szCs w:val="18"/>
          <w:lang w:val="vi-VN"/>
        </w:rPr>
        <w:t xml:space="preserve">về mức trọng yếu thực hiện tập đoàn </w:t>
      </w:r>
      <w:r w:rsidRPr="009177F3">
        <w:rPr>
          <w:rFonts w:ascii="Arial" w:hAnsi="Arial" w:cs="Arial"/>
          <w:sz w:val="18"/>
          <w:szCs w:val="18"/>
          <w:lang w:val="vi-VN"/>
        </w:rPr>
        <w:t xml:space="preserve">trong </w:t>
      </w:r>
      <w:r w:rsidR="006E5397">
        <w:rPr>
          <w:rFonts w:ascii="Arial" w:hAnsi="Arial" w:cs="Arial"/>
          <w:sz w:val="18"/>
          <w:szCs w:val="18"/>
        </w:rPr>
        <w:t>M</w:t>
      </w:r>
      <w:r w:rsidRPr="009177F3">
        <w:rPr>
          <w:rFonts w:ascii="Arial" w:hAnsi="Arial" w:cs="Arial"/>
          <w:sz w:val="18"/>
          <w:szCs w:val="18"/>
          <w:lang w:val="vi-VN"/>
        </w:rPr>
        <w:t xml:space="preserve">ẫu </w:t>
      </w:r>
      <w:r w:rsidR="00936457" w:rsidRPr="009177F3">
        <w:rPr>
          <w:rFonts w:ascii="Arial" w:hAnsi="Arial" w:cs="Arial"/>
          <w:sz w:val="18"/>
          <w:szCs w:val="18"/>
          <w:lang w:val="vi-VN"/>
        </w:rPr>
        <w:t>CC3 – Xác định mức trọng yếu của tập đoàn (kế hoạch – thực tế), để đối chiếu với các chỉ tiêu của BCTC tập đoàn sẽ giúp KTV xác định rủi ro có sai sót trọng yếu đối với BCTC tập đoàn. Lấy thông tin</w:t>
      </w:r>
      <w:r w:rsidRPr="009177F3">
        <w:rPr>
          <w:rFonts w:ascii="Arial" w:hAnsi="Arial" w:cs="Arial"/>
          <w:sz w:val="18"/>
          <w:szCs w:val="18"/>
          <w:lang w:val="vi-VN"/>
        </w:rPr>
        <w:t xml:space="preserve"> về mức trọng yếu thực hiện</w:t>
      </w:r>
      <w:r w:rsidR="00936457" w:rsidRPr="009177F3">
        <w:rPr>
          <w:rFonts w:ascii="Arial" w:hAnsi="Arial" w:cs="Arial"/>
          <w:sz w:val="18"/>
          <w:szCs w:val="18"/>
          <w:lang w:val="vi-VN"/>
        </w:rPr>
        <w:t xml:space="preserve"> trong </w:t>
      </w:r>
      <w:r w:rsidR="006E5397">
        <w:rPr>
          <w:rFonts w:ascii="Arial" w:hAnsi="Arial" w:cs="Arial"/>
          <w:sz w:val="18"/>
          <w:szCs w:val="18"/>
        </w:rPr>
        <w:t>M</w:t>
      </w:r>
      <w:r w:rsidR="00936457" w:rsidRPr="009177F3">
        <w:rPr>
          <w:rFonts w:ascii="Arial" w:hAnsi="Arial" w:cs="Arial"/>
          <w:sz w:val="18"/>
          <w:szCs w:val="18"/>
          <w:lang w:val="vi-VN"/>
        </w:rPr>
        <w:t>ẫu CC3.1 – Xác định mức trọng yếu đối với đơn vị thành viên (kế hoạch – thực tế)</w:t>
      </w:r>
      <w:r w:rsidR="00C6558C" w:rsidRPr="009177F3">
        <w:rPr>
          <w:rFonts w:ascii="Arial" w:hAnsi="Arial" w:cs="Arial"/>
          <w:sz w:val="18"/>
          <w:szCs w:val="18"/>
          <w:lang w:val="vi-VN"/>
        </w:rPr>
        <w:t xml:space="preserve"> </w:t>
      </w:r>
      <w:r w:rsidRPr="009177F3">
        <w:rPr>
          <w:rFonts w:ascii="Arial" w:hAnsi="Arial" w:cs="Arial"/>
          <w:sz w:val="18"/>
          <w:szCs w:val="18"/>
          <w:lang w:val="vi-VN"/>
        </w:rPr>
        <w:t>để đối chiếu với các chỉ tiêu của BCTC</w:t>
      </w:r>
      <w:r w:rsidR="00936457" w:rsidRPr="009177F3">
        <w:rPr>
          <w:rFonts w:ascii="Arial" w:hAnsi="Arial" w:cs="Arial"/>
          <w:sz w:val="18"/>
          <w:szCs w:val="18"/>
          <w:lang w:val="vi-VN"/>
        </w:rPr>
        <w:t xml:space="preserve"> đơn vị thành viên</w:t>
      </w:r>
      <w:r w:rsidRPr="009177F3">
        <w:rPr>
          <w:rFonts w:ascii="Arial" w:hAnsi="Arial" w:cs="Arial"/>
          <w:sz w:val="18"/>
          <w:szCs w:val="18"/>
          <w:lang w:val="vi-VN"/>
        </w:rPr>
        <w:t xml:space="preserve"> sẽ giúp cho KTV xác định được rủi ro có sai sót trọng yếu.</w:t>
      </w:r>
    </w:p>
    <w:p w14:paraId="015E3A50" w14:textId="0D426327" w:rsidR="006C4957" w:rsidRPr="00D93F02" w:rsidRDefault="00A34E24" w:rsidP="00A648FD">
      <w:pPr>
        <w:widowControl w:val="0"/>
        <w:spacing w:before="120" w:after="120" w:line="240" w:lineRule="auto"/>
        <w:jc w:val="both"/>
        <w:rPr>
          <w:sz w:val="18"/>
          <w:szCs w:val="18"/>
          <w:lang w:val="vi-VN"/>
        </w:rPr>
      </w:pPr>
      <w:r w:rsidRPr="009177F3">
        <w:rPr>
          <w:rFonts w:ascii="Arial" w:hAnsi="Arial" w:cs="Arial"/>
          <w:sz w:val="18"/>
          <w:szCs w:val="18"/>
          <w:lang w:val="vi-VN"/>
        </w:rPr>
        <w:t xml:space="preserve">Trưởng nhóm kiểm toán </w:t>
      </w:r>
      <w:r w:rsidR="00C6558C" w:rsidRPr="009177F3">
        <w:rPr>
          <w:rFonts w:ascii="Arial" w:hAnsi="Arial" w:cs="Arial"/>
          <w:sz w:val="18"/>
          <w:szCs w:val="18"/>
          <w:lang w:val="vi-VN"/>
        </w:rPr>
        <w:t xml:space="preserve">tập đoàn </w:t>
      </w:r>
      <w:r w:rsidRPr="009177F3">
        <w:rPr>
          <w:rFonts w:ascii="Arial" w:hAnsi="Arial" w:cs="Arial"/>
          <w:sz w:val="18"/>
          <w:szCs w:val="18"/>
          <w:lang w:val="vi-VN"/>
        </w:rPr>
        <w:t>cần trao đổi với Chủ nhiệm kiểm toán</w:t>
      </w:r>
      <w:r w:rsidR="00C6558C" w:rsidRPr="009177F3">
        <w:rPr>
          <w:rFonts w:ascii="Arial" w:hAnsi="Arial" w:cs="Arial"/>
          <w:sz w:val="18"/>
          <w:szCs w:val="18"/>
          <w:lang w:val="vi-VN"/>
        </w:rPr>
        <w:t xml:space="preserve"> tập đoàn</w:t>
      </w:r>
      <w:r w:rsidRPr="009177F3">
        <w:rPr>
          <w:rFonts w:ascii="Arial" w:hAnsi="Arial" w:cs="Arial"/>
          <w:sz w:val="18"/>
          <w:szCs w:val="18"/>
          <w:lang w:val="vi-VN"/>
        </w:rPr>
        <w:t xml:space="preserve"> về các rủi ro phát hiện trong quá trình phân tích sơ bộ. Các rủi ro này </w:t>
      </w:r>
      <w:r w:rsidR="00711D16" w:rsidRPr="009177F3">
        <w:rPr>
          <w:rFonts w:ascii="Arial" w:hAnsi="Arial" w:cs="Arial"/>
          <w:sz w:val="18"/>
          <w:szCs w:val="18"/>
          <w:lang w:val="vi-VN"/>
        </w:rPr>
        <w:t>sẽ được</w:t>
      </w:r>
      <w:r w:rsidRPr="009177F3">
        <w:rPr>
          <w:rFonts w:ascii="Arial" w:hAnsi="Arial" w:cs="Arial"/>
          <w:sz w:val="18"/>
          <w:szCs w:val="18"/>
          <w:lang w:val="vi-VN"/>
        </w:rPr>
        <w:t xml:space="preserve"> tổng hợp về </w:t>
      </w:r>
      <w:r w:rsidR="006E5397">
        <w:rPr>
          <w:rFonts w:ascii="Arial" w:hAnsi="Arial" w:cs="Arial"/>
          <w:sz w:val="18"/>
          <w:szCs w:val="18"/>
        </w:rPr>
        <w:t>M</w:t>
      </w:r>
      <w:r w:rsidRPr="009177F3">
        <w:rPr>
          <w:rFonts w:ascii="Arial" w:hAnsi="Arial" w:cs="Arial"/>
          <w:sz w:val="18"/>
          <w:szCs w:val="18"/>
          <w:lang w:val="vi-VN"/>
        </w:rPr>
        <w:t xml:space="preserve">ẫu </w:t>
      </w:r>
      <w:r w:rsidR="00936457" w:rsidRPr="009177F3">
        <w:rPr>
          <w:rFonts w:ascii="Arial" w:hAnsi="Arial" w:cs="Arial"/>
          <w:sz w:val="18"/>
          <w:szCs w:val="18"/>
          <w:lang w:val="vi-VN"/>
        </w:rPr>
        <w:t>CC</w:t>
      </w:r>
      <w:r w:rsidR="00711D16" w:rsidRPr="009177F3">
        <w:rPr>
          <w:rFonts w:ascii="Arial" w:hAnsi="Arial" w:cs="Arial"/>
          <w:sz w:val="18"/>
          <w:szCs w:val="18"/>
          <w:lang w:val="vi-VN"/>
        </w:rPr>
        <w:t>8</w:t>
      </w:r>
      <w:r w:rsidRPr="009177F3">
        <w:rPr>
          <w:rFonts w:ascii="Arial" w:hAnsi="Arial" w:cs="Arial"/>
          <w:sz w:val="18"/>
          <w:szCs w:val="18"/>
          <w:lang w:val="vi-VN"/>
        </w:rPr>
        <w:t xml:space="preserve"> - Tổng hợp </w:t>
      </w:r>
      <w:r w:rsidR="00711D16" w:rsidRPr="009177F3">
        <w:rPr>
          <w:rFonts w:ascii="Arial" w:hAnsi="Arial" w:cs="Arial"/>
          <w:sz w:val="18"/>
          <w:szCs w:val="18"/>
          <w:lang w:val="vi-VN"/>
        </w:rPr>
        <w:t xml:space="preserve">đánh giá rủi ro ở cấp độ </w:t>
      </w:r>
      <w:r w:rsidR="00C6558C" w:rsidRPr="009177F3">
        <w:rPr>
          <w:rFonts w:ascii="Arial" w:hAnsi="Arial" w:cs="Arial"/>
          <w:sz w:val="18"/>
          <w:szCs w:val="18"/>
          <w:lang w:val="vi-VN"/>
        </w:rPr>
        <w:t xml:space="preserve">BCTC </w:t>
      </w:r>
      <w:r w:rsidR="00711D16" w:rsidRPr="009177F3">
        <w:rPr>
          <w:rFonts w:ascii="Arial" w:hAnsi="Arial" w:cs="Arial"/>
          <w:sz w:val="18"/>
          <w:szCs w:val="18"/>
          <w:lang w:val="vi-VN"/>
        </w:rPr>
        <w:t>tập đoàn v</w:t>
      </w:r>
      <w:r w:rsidR="00DE27EA" w:rsidRPr="009177F3">
        <w:rPr>
          <w:rFonts w:ascii="Arial" w:hAnsi="Arial" w:cs="Arial"/>
          <w:sz w:val="18"/>
          <w:szCs w:val="18"/>
          <w:lang w:val="vi-VN"/>
        </w:rPr>
        <w:t>à</w:t>
      </w:r>
      <w:r w:rsidR="00711D16" w:rsidRPr="009177F3">
        <w:rPr>
          <w:rFonts w:ascii="Arial" w:hAnsi="Arial" w:cs="Arial"/>
          <w:sz w:val="18"/>
          <w:szCs w:val="18"/>
          <w:lang w:val="vi-VN"/>
        </w:rPr>
        <w:t xml:space="preserve"> cấp độ cơ sở dẫn liệu.</w:t>
      </w:r>
    </w:p>
    <w:sectPr w:rsidR="006C4957" w:rsidRPr="00D93F02" w:rsidSect="00D93F02">
      <w:headerReference w:type="default" r:id="rId8"/>
      <w:footerReference w:type="default" r:id="rId9"/>
      <w:pgSz w:w="11907" w:h="16840" w:code="9"/>
      <w:pgMar w:top="709" w:right="851" w:bottom="1418" w:left="1418"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24B8A" w14:textId="77777777" w:rsidR="0023523C" w:rsidRDefault="0023523C" w:rsidP="00A34E24">
      <w:pPr>
        <w:spacing w:after="0" w:line="240" w:lineRule="auto"/>
      </w:pPr>
      <w:r>
        <w:separator/>
      </w:r>
    </w:p>
  </w:endnote>
  <w:endnote w:type="continuationSeparator" w:id="0">
    <w:p w14:paraId="775C4D4F" w14:textId="77777777" w:rsidR="0023523C" w:rsidRDefault="0023523C" w:rsidP="00A34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4CBB0" w14:textId="6B65EB97" w:rsidR="00A176A2" w:rsidRDefault="00A176A2" w:rsidP="00A176A2">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063F5FB8" wp14:editId="4847CD4A">
          <wp:simplePos x="0" y="0"/>
          <wp:positionH relativeFrom="margin">
            <wp:posOffset>-67945</wp:posOffset>
          </wp:positionH>
          <wp:positionV relativeFrom="paragraph">
            <wp:posOffset>0</wp:posOffset>
          </wp:positionV>
          <wp:extent cx="895985" cy="355600"/>
          <wp:effectExtent l="0" t="0" r="0" b="0"/>
          <wp:wrapNone/>
          <wp:docPr id="725368425" name="Picture 7253684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059B799C" wp14:editId="38951476">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F68636"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Chương trình kiểm toán mẫu kiểm toán báo cáo tài chính tập đoàn</w:t>
    </w:r>
  </w:p>
  <w:p w14:paraId="2E537BF7" w14:textId="400BEB4E" w:rsidR="00A176A2" w:rsidRDefault="00A176A2" w:rsidP="00A176A2">
    <w:pPr>
      <w:pStyle w:val="Footer"/>
      <w:ind w:left="1701"/>
    </w:pPr>
    <w:r>
      <w:rPr>
        <w:rFonts w:ascii="Arial" w:hAnsi="Arial" w:cs="Arial"/>
        <w:i/>
        <w:sz w:val="18"/>
        <w:szCs w:val="18"/>
      </w:rPr>
      <w:t xml:space="preserve">(Ban hành theo Quyết định số </w:t>
    </w:r>
    <w:r w:rsidR="00162202">
      <w:rPr>
        <w:rFonts w:ascii="Arial" w:hAnsi="Arial" w:cs="Arial"/>
        <w:i/>
        <w:sz w:val="18"/>
        <w:szCs w:val="18"/>
      </w:rPr>
      <w:t xml:space="preserve">629-2023/QĐ-VACPA ngày 15/11/2023 </w:t>
    </w:r>
    <w:r>
      <w:rPr>
        <w:rFonts w:ascii="Arial" w:hAnsi="Arial" w:cs="Arial"/>
        <w:i/>
        <w:sz w:val="18"/>
        <w:szCs w:val="18"/>
      </w:rPr>
      <w:t>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90D6B" w14:textId="77777777" w:rsidR="0023523C" w:rsidRDefault="0023523C" w:rsidP="00A34E24">
      <w:pPr>
        <w:spacing w:after="0" w:line="240" w:lineRule="auto"/>
      </w:pPr>
      <w:r>
        <w:separator/>
      </w:r>
    </w:p>
  </w:footnote>
  <w:footnote w:type="continuationSeparator" w:id="0">
    <w:p w14:paraId="71CDD7BA" w14:textId="77777777" w:rsidR="0023523C" w:rsidRDefault="0023523C" w:rsidP="00A34E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856EC" w14:textId="380016D8" w:rsidR="00A34E24" w:rsidRDefault="00A34E24" w:rsidP="00DB06FC">
    <w:pPr>
      <w:pStyle w:val="Header"/>
      <w:pBdr>
        <w:bottom w:val="single" w:sz="4" w:space="1" w:color="auto"/>
      </w:pBdr>
      <w:jc w:val="right"/>
    </w:pPr>
    <w:r w:rsidRPr="00DB06FC">
      <w:rPr>
        <w:rFonts w:ascii="Arial" w:eastAsia="SimSun" w:hAnsi="Arial" w:cs="Arial"/>
        <w:b/>
        <w:bCs/>
      </w:rPr>
      <w:t>CC6</w:t>
    </w:r>
    <w:r w:rsidR="00AE7A45">
      <w:rPr>
        <w:rFonts w:ascii="Arial" w:eastAsia="SimSun" w:hAnsi="Arial" w:cs="Arial"/>
        <w:b/>
        <w:bCs/>
      </w:rPr>
      <w:t>/</w:t>
    </w:r>
    <w:r w:rsidR="006F2550" w:rsidRPr="00DB06FC">
      <w:rPr>
        <w:rFonts w:ascii="Arial" w:eastAsia="SimSun" w:hAnsi="Arial" w:cs="Arial"/>
        <w:b/>
        <w:bCs/>
      </w:rPr>
      <w:t>CC6.1</w:t>
    </w:r>
    <w:r w:rsidR="00AE7A45">
      <w:rPr>
        <w:rFonts w:ascii="Arial" w:eastAsia="SimSun" w:hAnsi="Arial" w:cs="Arial"/>
        <w:b/>
        <w:bCs/>
      </w:rPr>
      <w:t>/</w:t>
    </w:r>
    <w:r w:rsidR="00241C2E">
      <w:rPr>
        <w:rFonts w:ascii="Arial" w:eastAsia="SimSun" w:hAnsi="Arial" w:cs="Arial"/>
        <w:b/>
        <w:bCs/>
      </w:rPr>
      <w:t>CC6.2</w:t>
    </w:r>
    <w:r w:rsidR="006F2550" w:rsidRPr="00DB06FC">
      <w:rPr>
        <w:rFonts w:ascii="Arial" w:eastAsia="SimSun" w:hAnsi="Arial" w:cs="Arial"/>
        <w:b/>
        <w:bCs/>
      </w:rPr>
      <w:t>GN</w:t>
    </w:r>
    <w:r w:rsidR="009B3527" w:rsidRPr="009B3527">
      <w:rPr>
        <w:rFonts w:ascii="Arial" w:eastAsia="SimSun" w:hAnsi="Arial" w:cs="Arial"/>
        <w:b/>
        <w:bCs/>
      </w:rPr>
      <w:t xml:space="preserve"> </w:t>
    </w:r>
    <w:r w:rsidR="009B3527" w:rsidRPr="009D2025">
      <w:rPr>
        <w:rFonts w:ascii="Arial" w:hAnsi="Arial" w:cs="Arial"/>
        <w:sz w:val="18"/>
        <w:szCs w:val="18"/>
      </w:rPr>
      <w:fldChar w:fldCharType="begin"/>
    </w:r>
    <w:r w:rsidR="009B3527" w:rsidRPr="009D2025">
      <w:rPr>
        <w:rFonts w:ascii="Arial" w:hAnsi="Arial" w:cs="Arial"/>
        <w:sz w:val="18"/>
        <w:szCs w:val="18"/>
      </w:rPr>
      <w:instrText xml:space="preserve"> PAGE  \* Arabic  \* MERGEFORMAT </w:instrText>
    </w:r>
    <w:r w:rsidR="009B3527" w:rsidRPr="009D2025">
      <w:rPr>
        <w:rFonts w:ascii="Arial" w:hAnsi="Arial" w:cs="Arial"/>
        <w:sz w:val="18"/>
        <w:szCs w:val="18"/>
      </w:rPr>
      <w:fldChar w:fldCharType="separate"/>
    </w:r>
    <w:r w:rsidR="009B3527">
      <w:rPr>
        <w:rFonts w:ascii="Arial" w:hAnsi="Arial" w:cs="Arial"/>
        <w:sz w:val="18"/>
        <w:szCs w:val="18"/>
      </w:rPr>
      <w:t>1</w:t>
    </w:r>
    <w:r w:rsidR="009B3527" w:rsidRPr="009D2025">
      <w:rPr>
        <w:rFonts w:ascii="Arial" w:hAnsi="Arial" w:cs="Arial"/>
        <w:sz w:val="18"/>
        <w:szCs w:val="18"/>
      </w:rPr>
      <w:fldChar w:fldCharType="end"/>
    </w:r>
    <w:r w:rsidR="009B3527" w:rsidRPr="009D2025">
      <w:rPr>
        <w:rFonts w:ascii="Arial" w:hAnsi="Arial" w:cs="Arial"/>
        <w:sz w:val="18"/>
        <w:szCs w:val="18"/>
      </w:rPr>
      <w:t>/</w:t>
    </w:r>
    <w:r w:rsidR="009B3527" w:rsidRPr="009D2025">
      <w:rPr>
        <w:rFonts w:ascii="Arial" w:hAnsi="Arial" w:cs="Arial"/>
        <w:sz w:val="18"/>
        <w:szCs w:val="18"/>
      </w:rPr>
      <w:fldChar w:fldCharType="begin"/>
    </w:r>
    <w:r w:rsidR="009B3527" w:rsidRPr="009D2025">
      <w:rPr>
        <w:rFonts w:ascii="Arial" w:hAnsi="Arial" w:cs="Arial"/>
        <w:sz w:val="18"/>
        <w:szCs w:val="18"/>
      </w:rPr>
      <w:instrText xml:space="preserve"> NUMPAGES  \* Arabic  \* MERGEFORMAT </w:instrText>
    </w:r>
    <w:r w:rsidR="009B3527" w:rsidRPr="009D2025">
      <w:rPr>
        <w:rFonts w:ascii="Arial" w:hAnsi="Arial" w:cs="Arial"/>
        <w:sz w:val="18"/>
        <w:szCs w:val="18"/>
      </w:rPr>
      <w:fldChar w:fldCharType="separate"/>
    </w:r>
    <w:r w:rsidR="009B3527">
      <w:rPr>
        <w:rFonts w:ascii="Arial" w:hAnsi="Arial" w:cs="Arial"/>
        <w:sz w:val="18"/>
        <w:szCs w:val="18"/>
      </w:rPr>
      <w:t>1</w:t>
    </w:r>
    <w:r w:rsidR="009B3527" w:rsidRPr="009D2025">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322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E24"/>
    <w:rsid w:val="000159F9"/>
    <w:rsid w:val="00030AB6"/>
    <w:rsid w:val="000952BC"/>
    <w:rsid w:val="000C2DA1"/>
    <w:rsid w:val="000C5031"/>
    <w:rsid w:val="00131032"/>
    <w:rsid w:val="00162202"/>
    <w:rsid w:val="00174660"/>
    <w:rsid w:val="002135D4"/>
    <w:rsid w:val="00220687"/>
    <w:rsid w:val="0023523C"/>
    <w:rsid w:val="00241C2E"/>
    <w:rsid w:val="00275E42"/>
    <w:rsid w:val="00280A14"/>
    <w:rsid w:val="002868A9"/>
    <w:rsid w:val="002C5D81"/>
    <w:rsid w:val="00300B06"/>
    <w:rsid w:val="00352A1D"/>
    <w:rsid w:val="00370026"/>
    <w:rsid w:val="00382AF5"/>
    <w:rsid w:val="004D21BB"/>
    <w:rsid w:val="004F50E9"/>
    <w:rsid w:val="00593297"/>
    <w:rsid w:val="00621CBD"/>
    <w:rsid w:val="006B1BBC"/>
    <w:rsid w:val="006C4957"/>
    <w:rsid w:val="006E5397"/>
    <w:rsid w:val="006F2550"/>
    <w:rsid w:val="00711D16"/>
    <w:rsid w:val="0072529F"/>
    <w:rsid w:val="007F5CF7"/>
    <w:rsid w:val="009177F3"/>
    <w:rsid w:val="00936457"/>
    <w:rsid w:val="00986D41"/>
    <w:rsid w:val="009B3527"/>
    <w:rsid w:val="00A176A2"/>
    <w:rsid w:val="00A20F35"/>
    <w:rsid w:val="00A3326F"/>
    <w:rsid w:val="00A34E24"/>
    <w:rsid w:val="00A451F9"/>
    <w:rsid w:val="00A648FD"/>
    <w:rsid w:val="00A64C03"/>
    <w:rsid w:val="00AE7757"/>
    <w:rsid w:val="00AE7A45"/>
    <w:rsid w:val="00B6098E"/>
    <w:rsid w:val="00B76BE1"/>
    <w:rsid w:val="00BB24DC"/>
    <w:rsid w:val="00C2791F"/>
    <w:rsid w:val="00C6558C"/>
    <w:rsid w:val="00C660C7"/>
    <w:rsid w:val="00CB608B"/>
    <w:rsid w:val="00D129C7"/>
    <w:rsid w:val="00D25340"/>
    <w:rsid w:val="00D421CA"/>
    <w:rsid w:val="00D6153D"/>
    <w:rsid w:val="00D93F02"/>
    <w:rsid w:val="00DB06FC"/>
    <w:rsid w:val="00DE27EA"/>
    <w:rsid w:val="00DE3ECC"/>
    <w:rsid w:val="00E3778D"/>
    <w:rsid w:val="00EA54D9"/>
    <w:rsid w:val="00FA6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419F0"/>
  <w15:chartTrackingRefBased/>
  <w15:docId w15:val="{2BCFA71E-D4FE-47FA-9E05-8ABEFAA7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E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E24"/>
  </w:style>
  <w:style w:type="paragraph" w:styleId="Footer">
    <w:name w:val="footer"/>
    <w:basedOn w:val="Normal"/>
    <w:link w:val="FooterChar"/>
    <w:uiPriority w:val="99"/>
    <w:unhideWhenUsed/>
    <w:rsid w:val="00A34E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E24"/>
  </w:style>
  <w:style w:type="paragraph" w:styleId="Revision">
    <w:name w:val="Revision"/>
    <w:hidden/>
    <w:uiPriority w:val="99"/>
    <w:semiHidden/>
    <w:rsid w:val="006F25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69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AE550-B7DA-4585-A82A-C716D52A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 - Hoàn</dc:creator>
  <cp:keywords/>
  <dc:description/>
  <cp:lastModifiedBy>VACPA</cp:lastModifiedBy>
  <cp:revision>35</cp:revision>
  <cp:lastPrinted>2023-10-23T08:24:00Z</cp:lastPrinted>
  <dcterms:created xsi:type="dcterms:W3CDTF">2023-04-15T08:24:00Z</dcterms:created>
  <dcterms:modified xsi:type="dcterms:W3CDTF">2024-09-21T13:28:00Z</dcterms:modified>
</cp:coreProperties>
</file>